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91F" w:rsidRPr="006D5880" w:rsidRDefault="002C691F" w:rsidP="002C691F">
      <w:pPr>
        <w:pStyle w:val="Vnbnnidung70"/>
        <w:adjustRightInd w:val="0"/>
        <w:snapToGrid w:val="0"/>
        <w:spacing w:before="120" w:line="240" w:lineRule="auto"/>
        <w:rPr>
          <w:rStyle w:val="Vnbnnidung7"/>
          <w:rFonts w:ascii="Arial" w:hAnsi="Arial" w:cs="Arial"/>
          <w:b/>
          <w:bCs/>
          <w:sz w:val="20"/>
          <w:szCs w:val="20"/>
          <w:lang w:eastAsia="vi-VN"/>
        </w:rPr>
      </w:pPr>
    </w:p>
    <w:p w:rsidR="002C691F" w:rsidRPr="006D5880" w:rsidRDefault="002C691F" w:rsidP="002C691F">
      <w:pPr>
        <w:pStyle w:val="Vnbnnidung7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7"/>
          <w:rFonts w:ascii="Arial" w:hAnsi="Arial" w:cs="Arial"/>
          <w:b/>
          <w:bCs/>
          <w:sz w:val="20"/>
          <w:szCs w:val="20"/>
          <w:lang w:eastAsia="vi-VN"/>
        </w:rPr>
        <w:t>Mẫu số 07/QTNĐ</w:t>
      </w:r>
    </w:p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2C691F" w:rsidRPr="006D5880" w:rsidTr="001A59D5">
        <w:tc>
          <w:tcPr>
            <w:tcW w:w="1890" w:type="pct"/>
          </w:tcPr>
          <w:p w:rsidR="002C691F" w:rsidRPr="006D5880" w:rsidRDefault="002C691F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4"/>
                <w:rFonts w:ascii="Arial" w:hAnsi="Arial" w:cs="Arial"/>
                <w:b/>
                <w:bCs/>
                <w:sz w:val="20"/>
                <w:szCs w:val="20"/>
              </w:rPr>
              <w:t>CƠ QUAN THANH TOÁN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2C691F" w:rsidRPr="006D5880" w:rsidRDefault="002C691F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b/>
          <w:bCs/>
          <w:sz w:val="20"/>
          <w:szCs w:val="20"/>
          <w:lang w:eastAsia="vi-VN"/>
        </w:rPr>
      </w:pPr>
    </w:p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rPr>
          <w:rFonts w:ascii="Arial" w:hAnsi="Arial" w:cs="Arial"/>
          <w:sz w:val="20"/>
          <w:szCs w:val="20"/>
        </w:rPr>
      </w:pPr>
      <w:r w:rsidRPr="006D5880">
        <w:rPr>
          <w:rStyle w:val="Vnbnnidung4"/>
          <w:rFonts w:ascii="Arial" w:hAnsi="Arial" w:cs="Arial"/>
          <w:b/>
          <w:bCs/>
          <w:sz w:val="20"/>
          <w:szCs w:val="20"/>
          <w:lang w:eastAsia="vi-VN"/>
        </w:rPr>
        <w:t>BÁO CÁO CHI TIẾT QUYẾT TOÁN VỐN ĐẦU TƯ CÔNG NGUỒN NGÂN SÁCH NHÀ NƯỚC CỦA CÁC BỘ, CƠ QUAN TRUNG ƯƠNG THEO NĂM NGÂN SÁCH …</w:t>
      </w:r>
    </w:p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 xml:space="preserve">(Kèm theo công văn số... ngày... tháng... </w:t>
      </w:r>
      <w:proofErr w:type="gramStart"/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năm..</w:t>
      </w:r>
      <w:proofErr w:type="gramEnd"/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 xml:space="preserve"> </w:t>
      </w:r>
      <w:proofErr w:type="gramStart"/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của..</w:t>
      </w:r>
      <w:proofErr w:type="gramEnd"/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)</w:t>
      </w:r>
    </w:p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rPr>
          <w:rFonts w:ascii="Arial" w:hAnsi="Arial" w:cs="Arial"/>
          <w:sz w:val="20"/>
          <w:szCs w:val="20"/>
        </w:rPr>
      </w:pPr>
    </w:p>
    <w:p w:rsidR="002C691F" w:rsidRPr="006D5880" w:rsidRDefault="002C691F" w:rsidP="002C691F">
      <w:pPr>
        <w:pStyle w:val="Vnbnnidung0"/>
        <w:adjustRightInd w:val="0"/>
        <w:snapToGrid w:val="0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Đơn 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1374"/>
        <w:gridCol w:w="223"/>
        <w:gridCol w:w="299"/>
        <w:gridCol w:w="339"/>
        <w:gridCol w:w="331"/>
        <w:gridCol w:w="365"/>
        <w:gridCol w:w="359"/>
        <w:gridCol w:w="473"/>
        <w:gridCol w:w="365"/>
        <w:gridCol w:w="239"/>
        <w:gridCol w:w="359"/>
        <w:gridCol w:w="316"/>
        <w:gridCol w:w="359"/>
        <w:gridCol w:w="546"/>
        <w:gridCol w:w="365"/>
        <w:gridCol w:w="239"/>
        <w:gridCol w:w="359"/>
        <w:gridCol w:w="382"/>
        <w:gridCol w:w="683"/>
        <w:gridCol w:w="473"/>
        <w:gridCol w:w="413"/>
      </w:tblGrid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TT</w:t>
            </w:r>
          </w:p>
        </w:tc>
        <w:tc>
          <w:tcPr>
            <w:tcW w:w="914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Nội dung</w:t>
            </w:r>
          </w:p>
        </w:tc>
        <w:tc>
          <w:tcPr>
            <w:tcW w:w="258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</w:rPr>
              <w:t xml:space="preserve">Mã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dự án</w:t>
            </w:r>
          </w:p>
        </w:tc>
        <w:tc>
          <w:tcPr>
            <w:tcW w:w="381" w:type="pct"/>
            <w:gridSpan w:val="2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Luỹ kế vốn đã giải ngân từ khởi công đến hết năm ngân sách trước năm quyết toán</w:t>
            </w:r>
          </w:p>
        </w:tc>
        <w:tc>
          <w:tcPr>
            <w:tcW w:w="201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tạm ứng theo chế độ chưa thu hồi của các năm trước nộp điều chỉnh giảm trong năm quyết toán</w:t>
            </w:r>
          </w:p>
        </w:tc>
        <w:tc>
          <w:tcPr>
            <w:tcW w:w="220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Thanh toán khối lượng hoàn thành trong năm quyết toán phần vốn tạm ứng theo chế độ chưa thu hồi từ khởi công đến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hết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năm ngân sách trước năm quyết toán</w:t>
            </w:r>
          </w:p>
        </w:tc>
        <w:tc>
          <w:tcPr>
            <w:tcW w:w="1099" w:type="pct"/>
            <w:gridSpan w:val="6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Kế hoạch và giải ngân vốn kế hoạch các năm trước được kéo dài thời gian thực hiện và giải ngân sang năm quyết toán</w:t>
            </w:r>
          </w:p>
        </w:tc>
        <w:tc>
          <w:tcPr>
            <w:tcW w:w="1111" w:type="pct"/>
            <w:gridSpan w:val="6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Kế hoạch và giải ngân vốn kế hoạch năm quyết toán</w:t>
            </w: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Tổng số vốn đã thanh toán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khối lượng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hoàn thành được quyết toán trong năm...</w:t>
            </w:r>
          </w:p>
        </w:tc>
        <w:tc>
          <w:tcPr>
            <w:tcW w:w="222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Luỹ kế vốn tạm ứng theo chế độ chưa thu hồi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đến hết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năm quyết toán chuyển sang các năm sau</w:t>
            </w:r>
          </w:p>
        </w:tc>
        <w:tc>
          <w:tcPr>
            <w:tcW w:w="210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Lũy kế số vốn đã giải ngân từ khởi công đến hết năm quyết toán</w:t>
            </w: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14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1" w:type="pct"/>
            <w:gridSpan w:val="2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1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được kéo dài</w:t>
            </w:r>
          </w:p>
        </w:tc>
        <w:tc>
          <w:tcPr>
            <w:tcW w:w="532" w:type="pct"/>
            <w:gridSpan w:val="3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Giải ngân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tiếp tục được phép kéo dài thời gian thực hiện và giải ngân sang năm sau năm quyết toán (nếu có)</w:t>
            </w:r>
          </w:p>
        </w:tc>
        <w:tc>
          <w:tcPr>
            <w:tcW w:w="171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còn lại chưa giải ngân hủy bỏ (nếu có)</w:t>
            </w:r>
          </w:p>
        </w:tc>
        <w:tc>
          <w:tcPr>
            <w:tcW w:w="173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năm quyết toán</w:t>
            </w:r>
          </w:p>
        </w:tc>
        <w:tc>
          <w:tcPr>
            <w:tcW w:w="535" w:type="pct"/>
            <w:gridSpan w:val="3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Giải ngân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được phép kéo dài thời gian thực hiện và giải ngân sang năm sau năm quyết toán (nếu có)</w:t>
            </w:r>
          </w:p>
        </w:tc>
        <w:tc>
          <w:tcPr>
            <w:tcW w:w="172" w:type="pct"/>
            <w:vMerge w:val="restar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còn lại chưa giải ngân hủy bỏ (nếu có)</w:t>
            </w:r>
          </w:p>
        </w:tc>
        <w:tc>
          <w:tcPr>
            <w:tcW w:w="265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2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14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Trong đó vốn tạm ứng theo chế độ chưa thu hồi</w:t>
            </w:r>
          </w:p>
        </w:tc>
        <w:tc>
          <w:tcPr>
            <w:tcW w:w="201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</w:rPr>
              <w:t>Tổng số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Thanh toán khối lượng hoàn thành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tạm ứng</w:t>
            </w:r>
          </w:p>
        </w:tc>
        <w:tc>
          <w:tcPr>
            <w:tcW w:w="224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Thanh toán khối lượng hoàn thành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tạm ứng</w:t>
            </w: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2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4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6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8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9=10+11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13=8-9-12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15=16+17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17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19=14-15-18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20=7+10+16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21=5-6- 7+11+17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22=4-6+9+15</w:t>
            </w: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ngân sách nhà nước theo ngành, lĩnh vực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Cs/>
                <w:i/>
                <w:sz w:val="12"/>
                <w:szCs w:val="12"/>
              </w:rPr>
              <w:t xml:space="preserve">Vốn </w:t>
            </w: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B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Chương trình mục tiêu quốc gia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C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ngân sách trung trong bổ sung ngoài kế hoạch được giao (nếu có)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BỘ, CƠ QUAN TRUNG ƯƠNG ...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vực)...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ngân sách nhà nước theo ngành, lĩnh vực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Ngành, lĩnh vực (mã ngành, lĩnh vực)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Dự 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>án..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sz w:val="12"/>
                <w:szCs w:val="12"/>
                <w:lang w:eastAsia="vi-VN"/>
              </w:rPr>
              <w:t xml:space="preserve">Vốn </w:t>
            </w: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Dự 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>án..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Ngành, lĩnh vực (mã ngành, lĩnh vực)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b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Chương trình mục tiêu quốc gia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sz w:val="12"/>
                <w:szCs w:val="12"/>
              </w:rPr>
              <w:t xml:space="preserve">Vốn </w:t>
            </w: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i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iCs/>
                <w:sz w:val="12"/>
                <w:szCs w:val="12"/>
                <w:lang w:eastAsia="vi-VN"/>
              </w:rPr>
              <w:t>Chương trình mục tiêu quốc gia...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án…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ghi thu, ghi chi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- Giải ngân theo cơ chế tài chính trong nước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iCs/>
                <w:sz w:val="12"/>
                <w:szCs w:val="12"/>
                <w:lang w:eastAsia="vi-VN"/>
              </w:rPr>
              <w:t>Chương trình mục tiêu quốc gia...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c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Vốn ngân sách trung 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lastRenderedPageBreak/>
              <w:t>ương bổ sung ngoài kế hoạch được giao (nếu có)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>vực)…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án…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 xml:space="preserve">Ngành, lĩnh vực (mã ngành, lĩnh </w:t>
            </w:r>
            <w:proofErr w:type="gramStart"/>
            <w:r w:rsidRPr="006D5880">
              <w:rPr>
                <w:rStyle w:val="Khc"/>
                <w:sz w:val="12"/>
                <w:szCs w:val="12"/>
                <w:lang w:eastAsia="vi-VN"/>
              </w:rPr>
              <w:t>vực)…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2C691F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BỘ, CƠ QUAN TRUNG ƯƠNG ...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:rsidR="002C691F" w:rsidRPr="006D5880" w:rsidRDefault="002C691F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</w:tbl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jc w:val="left"/>
        <w:rPr>
          <w:rFonts w:ascii="Arial" w:hAnsi="Arial" w:cs="Arial"/>
          <w:sz w:val="20"/>
          <w:szCs w:val="20"/>
        </w:rPr>
      </w:pPr>
      <w:r w:rsidRPr="006D5880">
        <w:rPr>
          <w:rStyle w:val="Vnbnnidung4"/>
          <w:rFonts w:ascii="Arial" w:hAnsi="Arial" w:cs="Arial"/>
          <w:b/>
          <w:bCs/>
          <w:i/>
          <w:iCs/>
          <w:sz w:val="20"/>
          <w:szCs w:val="20"/>
          <w:lang w:eastAsia="vi-VN"/>
        </w:rPr>
        <w:t>Ghi chú:</w:t>
      </w:r>
    </w:p>
    <w:p w:rsidR="002C691F" w:rsidRPr="006D5880" w:rsidRDefault="002C691F" w:rsidP="002C691F">
      <w:pPr>
        <w:pStyle w:val="Vnbnnidung40"/>
        <w:adjustRightInd w:val="0"/>
        <w:snapToGrid w:val="0"/>
        <w:spacing w:before="120" w:after="0"/>
        <w:jc w:val="left"/>
        <w:rPr>
          <w:rFonts w:ascii="Arial" w:hAnsi="Arial" w:cs="Arial"/>
          <w:sz w:val="20"/>
          <w:szCs w:val="20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- Cơ quan thanh toán báo cáo ngành, lĩnh vực theo đúng thứ tự quy định tại Điều 3 Nghị định số 163/2016/NĐ-CP ngày 21/12/2016.</w:t>
      </w:r>
    </w:p>
    <w:p w:rsidR="002C691F" w:rsidRPr="006D5880" w:rsidRDefault="002C691F" w:rsidP="002C691F">
      <w:pPr>
        <w:pStyle w:val="Vnbnnidung80"/>
        <w:adjustRightInd w:val="0"/>
        <w:snapToGrid w:val="0"/>
        <w:spacing w:before="120" w:after="0"/>
        <w:ind w:left="0"/>
        <w:rPr>
          <w:rStyle w:val="Vnbnnidung8"/>
          <w:rFonts w:ascii="Arial" w:hAnsi="Arial" w:cs="Arial"/>
          <w:i/>
          <w:iCs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3"/>
        <w:gridCol w:w="4633"/>
      </w:tblGrid>
      <w:tr w:rsidR="002C691F" w:rsidRPr="006D5880" w:rsidTr="001A59D5">
        <w:tc>
          <w:tcPr>
            <w:tcW w:w="6588" w:type="dxa"/>
          </w:tcPr>
          <w:p w:rsidR="002C691F" w:rsidRPr="006D5880" w:rsidRDefault="002C691F" w:rsidP="001A59D5">
            <w:pPr>
              <w:pStyle w:val="Vnbnnidung80"/>
              <w:adjustRightInd w:val="0"/>
              <w:snapToGrid w:val="0"/>
              <w:spacing w:before="120" w:after="0"/>
              <w:ind w:left="0"/>
              <w:rPr>
                <w:rStyle w:val="Vnbnnidung8"/>
                <w:rFonts w:ascii="Arial" w:hAnsi="Arial" w:cs="Arial"/>
                <w:i/>
                <w:iCs/>
                <w:sz w:val="20"/>
                <w:szCs w:val="20"/>
                <w:lang w:eastAsia="vi-VN"/>
              </w:rPr>
            </w:pPr>
          </w:p>
        </w:tc>
        <w:tc>
          <w:tcPr>
            <w:tcW w:w="6588" w:type="dxa"/>
          </w:tcPr>
          <w:p w:rsidR="002C691F" w:rsidRPr="006D5880" w:rsidRDefault="002C691F" w:rsidP="001A59D5">
            <w:pPr>
              <w:pStyle w:val="Vnbnnidung80"/>
              <w:adjustRightInd w:val="0"/>
              <w:snapToGrid w:val="0"/>
              <w:spacing w:before="120" w:after="0"/>
              <w:ind w:left="0"/>
              <w:rPr>
                <w:rStyle w:val="Vnbnnidung8"/>
                <w:rFonts w:ascii="Arial" w:hAnsi="Arial" w:cs="Arial"/>
                <w:i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Vnbnnidung8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.... ngày... tháng... năm 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4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LÃNH ĐẠO CƠ </w:t>
            </w:r>
            <w:r w:rsidRPr="006D5880">
              <w:rPr>
                <w:rStyle w:val="Vnbnnidung4"/>
                <w:rFonts w:ascii="Arial" w:hAnsi="Arial" w:cs="Arial"/>
                <w:b/>
                <w:bCs/>
                <w:sz w:val="20"/>
                <w:szCs w:val="20"/>
              </w:rPr>
              <w:t xml:space="preserve">QUAN </w:t>
            </w:r>
            <w:r w:rsidRPr="006D5880">
              <w:rPr>
                <w:rStyle w:val="Vnbnnidung4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THANH TOÁN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4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tên, chức</w:t>
            </w:r>
            <w:r w:rsidRPr="006D5880">
              <w:rPr>
                <w:rStyle w:val="Vnbnnidung4"/>
                <w:rFonts w:ascii="Arial" w:hAnsi="Arial" w:cs="Arial"/>
                <w:sz w:val="20"/>
                <w:szCs w:val="20"/>
                <w:lang w:eastAsia="vi-VN"/>
              </w:rPr>
              <w:t xml:space="preserve"> vụ </w:t>
            </w:r>
            <w:r w:rsidRPr="006D5880">
              <w:rPr>
                <w:rStyle w:val="Vnbnnidung4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và đóng dấu)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783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0C0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6A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1E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62B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822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C6A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AA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EF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799150">
    <w:abstractNumId w:val="9"/>
  </w:num>
  <w:num w:numId="2" w16cid:durableId="1515193786">
    <w:abstractNumId w:val="7"/>
  </w:num>
  <w:num w:numId="3" w16cid:durableId="1484856081">
    <w:abstractNumId w:val="6"/>
  </w:num>
  <w:num w:numId="4" w16cid:durableId="63766857">
    <w:abstractNumId w:val="5"/>
  </w:num>
  <w:num w:numId="5" w16cid:durableId="173232739">
    <w:abstractNumId w:val="4"/>
  </w:num>
  <w:num w:numId="6" w16cid:durableId="1948538741">
    <w:abstractNumId w:val="8"/>
  </w:num>
  <w:num w:numId="7" w16cid:durableId="1876651341">
    <w:abstractNumId w:val="3"/>
  </w:num>
  <w:num w:numId="8" w16cid:durableId="1857963686">
    <w:abstractNumId w:val="2"/>
  </w:num>
  <w:num w:numId="9" w16cid:durableId="440076081">
    <w:abstractNumId w:val="1"/>
  </w:num>
  <w:num w:numId="10" w16cid:durableId="22002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1F"/>
    <w:rsid w:val="000B5CBB"/>
    <w:rsid w:val="00235881"/>
    <w:rsid w:val="002C691F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94F6-4F9A-4846-BDEA-B219C6B8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1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691F"/>
    <w:rPr>
      <w:rFonts w:cs="Times New Roman"/>
      <w:color w:val="0066CC"/>
      <w:u w:val="single"/>
    </w:rPr>
  </w:style>
  <w:style w:type="character" w:customStyle="1" w:styleId="Khc">
    <w:name w:val="Khác_"/>
    <w:link w:val="Khc0"/>
    <w:uiPriority w:val="99"/>
    <w:locked/>
    <w:rsid w:val="002C691F"/>
    <w:rPr>
      <w:rFonts w:ascii="Arial" w:hAnsi="Arial" w:cs="Arial"/>
      <w:sz w:val="9"/>
      <w:szCs w:val="9"/>
    </w:rPr>
  </w:style>
  <w:style w:type="character" w:customStyle="1" w:styleId="Vnbnnidung">
    <w:name w:val="Văn bản nội dung_"/>
    <w:link w:val="Vnbnnidung0"/>
    <w:uiPriority w:val="99"/>
    <w:locked/>
    <w:rsid w:val="002C691F"/>
    <w:rPr>
      <w:rFonts w:ascii="Times New Roman" w:hAnsi="Times New Roman" w:cs="Times New Roman"/>
      <w:i/>
      <w:iCs/>
      <w:sz w:val="12"/>
      <w:szCs w:val="12"/>
    </w:rPr>
  </w:style>
  <w:style w:type="character" w:customStyle="1" w:styleId="Vnbnnidung4">
    <w:name w:val="Văn bản nội dung (4)_"/>
    <w:link w:val="Vnbnnidung40"/>
    <w:uiPriority w:val="99"/>
    <w:locked/>
    <w:rsid w:val="002C691F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2C691F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2C691F"/>
    <w:rPr>
      <w:rFonts w:ascii="Times New Roman" w:hAnsi="Times New Roman" w:cs="Times New Roman"/>
      <w:i/>
      <w:iCs/>
    </w:rPr>
  </w:style>
  <w:style w:type="character" w:customStyle="1" w:styleId="Vnbnnidung7">
    <w:name w:val="Văn bản nội dung (7)_"/>
    <w:link w:val="Vnbnnidung70"/>
    <w:uiPriority w:val="99"/>
    <w:locked/>
    <w:rsid w:val="002C691F"/>
    <w:rPr>
      <w:rFonts w:cs="Times New Roman"/>
      <w:b/>
      <w:bCs/>
      <w:sz w:val="12"/>
      <w:szCs w:val="12"/>
    </w:rPr>
  </w:style>
  <w:style w:type="character" w:customStyle="1" w:styleId="Vnbnnidung5">
    <w:name w:val="Văn bản nội dung (5)_"/>
    <w:link w:val="Vnbnnidung50"/>
    <w:uiPriority w:val="99"/>
    <w:locked/>
    <w:rsid w:val="002C691F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2C691F"/>
    <w:rPr>
      <w:rFonts w:ascii="Times New Roman" w:hAnsi="Times New Roman" w:cs="Times New Roman"/>
      <w:i/>
      <w:iCs/>
      <w:sz w:val="17"/>
      <w:szCs w:val="17"/>
    </w:rPr>
  </w:style>
  <w:style w:type="character" w:customStyle="1" w:styleId="Tiu1">
    <w:name w:val="Tiêu đề #1_"/>
    <w:link w:val="Tiu10"/>
    <w:uiPriority w:val="99"/>
    <w:locked/>
    <w:rsid w:val="002C691F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2C691F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2C691F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2C691F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0">
    <w:name w:val="Văn bản nội dung"/>
    <w:basedOn w:val="Normal"/>
    <w:link w:val="Vnbnnidung"/>
    <w:uiPriority w:val="99"/>
    <w:rsid w:val="002C691F"/>
    <w:pPr>
      <w:spacing w:after="70"/>
    </w:pPr>
    <w:rPr>
      <w:rFonts w:ascii="Times New Roman" w:eastAsiaTheme="minorHAnsi" w:hAnsi="Times New Roman" w:cs="Times New Roman"/>
      <w:i/>
      <w:i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2C691F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2C691F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2C691F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70">
    <w:name w:val="Văn bản nội dung (7)"/>
    <w:basedOn w:val="Normal"/>
    <w:link w:val="Vnbnnidung7"/>
    <w:uiPriority w:val="99"/>
    <w:rsid w:val="002C691F"/>
    <w:pPr>
      <w:spacing w:line="233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2C691F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80">
    <w:name w:val="Văn bản nội dung (8)"/>
    <w:basedOn w:val="Normal"/>
    <w:link w:val="Vnbnnidung8"/>
    <w:uiPriority w:val="99"/>
    <w:rsid w:val="002C691F"/>
    <w:pPr>
      <w:spacing w:after="20"/>
      <w:ind w:left="531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7"/>
      <w:szCs w:val="17"/>
      <w:lang w:val="en-US" w:eastAsia="en-US"/>
      <w14:ligatures w14:val="standardContextual"/>
    </w:rPr>
  </w:style>
  <w:style w:type="paragraph" w:customStyle="1" w:styleId="Tiu10">
    <w:name w:val="Tiêu đề #1"/>
    <w:basedOn w:val="Normal"/>
    <w:link w:val="Tiu1"/>
    <w:uiPriority w:val="99"/>
    <w:rsid w:val="002C691F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Vnbnnidung90">
    <w:name w:val="Văn bản nội dung (9)"/>
    <w:basedOn w:val="Normal"/>
    <w:link w:val="Vnbnnidung9"/>
    <w:uiPriority w:val="99"/>
    <w:rsid w:val="002C691F"/>
    <w:pPr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2C691F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2C691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6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691F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rsid w:val="002C6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691F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2C69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2025-07-04T05:20:00Z</dcterms:created>
  <dcterms:modified xsi:type="dcterms:W3CDTF">2025-07-04T05:20:00Z</dcterms:modified>
</cp:coreProperties>
</file>