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2722"/>
        <w:gridCol w:w="6304"/>
      </w:tblGrid>
      <w:tr w:rsidR="002B5820" w:rsidTr="002B5820">
        <w:trPr>
          <w:trHeight w:val="1265"/>
        </w:trPr>
        <w:tc>
          <w:tcPr>
            <w:tcW w:w="1508" w:type="pct"/>
          </w:tcPr>
          <w:p w:rsidR="002B5820" w:rsidRDefault="002B5820">
            <w:pPr>
              <w:pStyle w:val="2dongcach"/>
              <w:spacing w:after="0" w:line="240" w:lineRule="auto"/>
              <w:ind w:firstLine="0"/>
              <w:rPr>
                <w:color w:val="auto"/>
                <w:sz w:val="26"/>
                <w:szCs w:val="28"/>
                <w:lang w:val="nl-NL" w:eastAsia="vi-VN"/>
              </w:rPr>
            </w:pPr>
            <w:r>
              <w:rPr>
                <w:color w:val="auto"/>
                <w:sz w:val="26"/>
                <w:szCs w:val="28"/>
                <w:lang w:val="nl-NL" w:eastAsia="vi-VN"/>
              </w:rPr>
              <w:t>CHÍNH PHỦ</w:t>
            </w:r>
          </w:p>
          <w:p w:rsidR="002B5820" w:rsidRDefault="002B5820">
            <w:pPr>
              <w:pStyle w:val="2dongcach"/>
              <w:spacing w:after="0" w:line="240" w:lineRule="auto"/>
              <w:ind w:firstLine="0"/>
              <w:rPr>
                <w:b w:val="0"/>
                <w:bCs w:val="0"/>
                <w:color w:val="auto"/>
                <w:sz w:val="26"/>
                <w:szCs w:val="28"/>
                <w:vertAlign w:val="superscript"/>
                <w:lang w:val="nl-NL" w:eastAsia="vi-VN"/>
              </w:rPr>
            </w:pPr>
            <w:r>
              <w:rPr>
                <w:b w:val="0"/>
                <w:bCs w:val="0"/>
                <w:color w:val="auto"/>
                <w:sz w:val="26"/>
                <w:szCs w:val="28"/>
                <w:vertAlign w:val="superscript"/>
                <w:lang w:val="nl-NL" w:eastAsia="vi-VN"/>
              </w:rPr>
              <w:t>_________</w:t>
            </w:r>
          </w:p>
          <w:p w:rsidR="002B5820" w:rsidRDefault="002B5820">
            <w:pPr>
              <w:pStyle w:val="2dongcach"/>
              <w:spacing w:after="0" w:line="240" w:lineRule="auto"/>
              <w:ind w:firstLine="0"/>
              <w:rPr>
                <w:b w:val="0"/>
                <w:bCs w:val="0"/>
                <w:color w:val="auto"/>
                <w:sz w:val="30"/>
                <w:szCs w:val="28"/>
                <w:lang w:val="nl-NL" w:eastAsia="vi-VN"/>
              </w:rPr>
            </w:pPr>
          </w:p>
          <w:p w:rsidR="002B5820" w:rsidRDefault="002B5820">
            <w:pPr>
              <w:pStyle w:val="2dongcach"/>
              <w:spacing w:after="0" w:line="240" w:lineRule="auto"/>
              <w:ind w:firstLine="0"/>
              <w:rPr>
                <w:color w:val="auto"/>
                <w:sz w:val="26"/>
                <w:szCs w:val="26"/>
                <w:lang w:val="nl-NL" w:eastAsia="vi-VN"/>
              </w:rPr>
            </w:pPr>
            <w:r>
              <w:rPr>
                <w:b w:val="0"/>
                <w:bCs w:val="0"/>
                <w:color w:val="auto"/>
                <w:sz w:val="26"/>
                <w:szCs w:val="28"/>
                <w:lang w:val="nl-NL" w:eastAsia="vi-VN"/>
              </w:rPr>
              <w:t xml:space="preserve">Số:   </w:t>
            </w:r>
            <w:r>
              <w:rPr>
                <w:b w:val="0"/>
                <w:bCs w:val="0"/>
                <w:color w:val="auto"/>
                <w:sz w:val="26"/>
                <w:szCs w:val="28"/>
                <w:lang w:val="vi-VN" w:eastAsia="vi-VN"/>
              </w:rPr>
              <w:t xml:space="preserve"> </w:t>
            </w:r>
            <w:r>
              <w:rPr>
                <w:b w:val="0"/>
                <w:bCs w:val="0"/>
                <w:color w:val="auto"/>
                <w:sz w:val="26"/>
                <w:szCs w:val="28"/>
                <w:lang w:val="nl-NL" w:eastAsia="vi-VN"/>
              </w:rPr>
              <w:t xml:space="preserve">  </w:t>
            </w:r>
            <w:r>
              <w:rPr>
                <w:b w:val="0"/>
                <w:bCs w:val="0"/>
                <w:color w:val="auto"/>
                <w:sz w:val="26"/>
                <w:szCs w:val="28"/>
                <w:lang w:val="vi-VN" w:eastAsia="vi-VN"/>
              </w:rPr>
              <w:t xml:space="preserve">  </w:t>
            </w:r>
            <w:r>
              <w:rPr>
                <w:b w:val="0"/>
                <w:bCs w:val="0"/>
                <w:color w:val="auto"/>
                <w:sz w:val="26"/>
                <w:szCs w:val="28"/>
                <w:lang w:val="nl-NL" w:eastAsia="vi-VN"/>
              </w:rPr>
              <w:t>/2025/NQ-CP</w:t>
            </w:r>
          </w:p>
        </w:tc>
        <w:tc>
          <w:tcPr>
            <w:tcW w:w="3492" w:type="pct"/>
            <w:hideMark/>
          </w:tcPr>
          <w:p w:rsidR="002B5820" w:rsidRDefault="002B5820">
            <w:pPr>
              <w:pStyle w:val="2dongcach"/>
              <w:spacing w:after="0" w:line="240" w:lineRule="auto"/>
              <w:ind w:firstLine="0"/>
              <w:rPr>
                <w:color w:val="auto"/>
                <w:sz w:val="26"/>
                <w:szCs w:val="26"/>
                <w:lang w:val="nl-NL" w:eastAsia="vi-VN"/>
              </w:rPr>
            </w:pPr>
            <w:r>
              <w:rPr>
                <w:color w:val="auto"/>
                <w:sz w:val="26"/>
                <w:szCs w:val="26"/>
                <w:lang w:val="nl-NL" w:eastAsia="vi-VN"/>
              </w:rPr>
              <w:t>CỘNG HÒA XÃ HỘI CHỦ NGHĨA VIỆT NAM</w:t>
            </w:r>
          </w:p>
          <w:p w:rsidR="002B5820" w:rsidRDefault="002B5820">
            <w:pPr>
              <w:pStyle w:val="2dongcach"/>
              <w:spacing w:after="0" w:line="240" w:lineRule="auto"/>
              <w:ind w:firstLine="0"/>
              <w:rPr>
                <w:color w:val="auto"/>
                <w:sz w:val="26"/>
                <w:szCs w:val="26"/>
                <w:lang w:val="vi-VN" w:eastAsia="vi-VN"/>
              </w:rPr>
            </w:pPr>
            <w:r>
              <w:rPr>
                <w:color w:val="auto"/>
                <w:sz w:val="28"/>
                <w:szCs w:val="28"/>
                <w:lang w:val="vi-VN" w:eastAsia="vi-VN"/>
              </w:rPr>
              <w:t>Độc lập - Tự do - Hạnh phúc</w:t>
            </w:r>
          </w:p>
          <w:p w:rsidR="002B5820" w:rsidRDefault="002B5820">
            <w:pPr>
              <w:pStyle w:val="2dongcach"/>
              <w:spacing w:after="0" w:line="240" w:lineRule="auto"/>
              <w:ind w:firstLine="0"/>
              <w:rPr>
                <w:b w:val="0"/>
                <w:bCs w:val="0"/>
                <w:color w:val="auto"/>
                <w:sz w:val="28"/>
                <w:szCs w:val="28"/>
                <w:vertAlign w:val="superscript"/>
                <w:lang w:val="nl-NL" w:eastAsia="vi-VN"/>
              </w:rPr>
            </w:pPr>
            <w:r>
              <w:rPr>
                <w:b w:val="0"/>
                <w:bCs w:val="0"/>
                <w:color w:val="auto"/>
                <w:sz w:val="28"/>
                <w:szCs w:val="28"/>
                <w:vertAlign w:val="superscript"/>
                <w:lang w:val="nl-NL" w:eastAsia="vi-VN"/>
              </w:rPr>
              <w:t>________________________________________</w:t>
            </w:r>
          </w:p>
          <w:p w:rsidR="002B5820" w:rsidRDefault="002B5820">
            <w:pPr>
              <w:pStyle w:val="2dongcach"/>
              <w:spacing w:after="0" w:line="240" w:lineRule="auto"/>
              <w:ind w:firstLine="0"/>
              <w:rPr>
                <w:b w:val="0"/>
                <w:bCs w:val="0"/>
                <w:color w:val="auto"/>
                <w:sz w:val="28"/>
                <w:szCs w:val="28"/>
                <w:lang w:val="nl-NL" w:eastAsia="vi-VN"/>
              </w:rPr>
            </w:pPr>
            <w:r>
              <w:rPr>
                <w:b w:val="0"/>
                <w:bCs w:val="0"/>
                <w:i/>
                <w:iCs/>
                <w:color w:val="auto"/>
                <w:sz w:val="28"/>
                <w:szCs w:val="28"/>
                <w:lang w:val="nl-NL" w:eastAsia="vi-VN"/>
              </w:rPr>
              <w:t>Hà Nội, ngày     tháng 6 năm 2025</w:t>
            </w:r>
          </w:p>
        </w:tc>
      </w:tr>
    </w:tbl>
    <w:p w:rsidR="002B5820" w:rsidRDefault="002B5820" w:rsidP="002B5820">
      <w:pPr>
        <w:suppressLineNumbers/>
        <w:suppressAutoHyphens/>
        <w:spacing w:before="480" w:after="0" w:line="240" w:lineRule="auto"/>
        <w:ind w:firstLine="0"/>
        <w:jc w:val="center"/>
        <w:rPr>
          <w:rFonts w:eastAsia="Times New Roman"/>
          <w:b/>
          <w:bCs/>
          <w:lang w:val="nl-NL" w:eastAsia="en-US"/>
        </w:rPr>
      </w:pPr>
      <w:bookmarkStart w:id="0" w:name="_Hlk182174745"/>
      <w:bookmarkStart w:id="1" w:name="_Hlk166716291"/>
      <w:r>
        <w:rPr>
          <w:rFonts w:eastAsia="Times New Roman"/>
          <w:b/>
          <w:bCs/>
          <w:lang w:val="nl-NL" w:eastAsia="en-US"/>
        </w:rPr>
        <w:t>NGHỊ QUYẾT</w:t>
      </w:r>
    </w:p>
    <w:p w:rsidR="002B5820" w:rsidRDefault="002B5820" w:rsidP="002B5820">
      <w:pPr>
        <w:suppressLineNumbers/>
        <w:suppressAutoHyphens/>
        <w:spacing w:before="0" w:after="0" w:line="240" w:lineRule="auto"/>
        <w:ind w:firstLine="0"/>
        <w:jc w:val="center"/>
        <w:rPr>
          <w:rFonts w:eastAsia="Times New Roman"/>
          <w:b/>
          <w:bCs/>
          <w:caps/>
          <w:spacing w:val="-6"/>
          <w:lang w:val="nl-NL" w:eastAsia="en-US"/>
        </w:rPr>
      </w:pPr>
      <w:r>
        <w:rPr>
          <w:rFonts w:ascii="Times New Roman Bold" w:eastAsia="Times New Roman" w:hAnsi="Times New Roman Bold"/>
          <w:b/>
          <w:bCs/>
          <w:spacing w:val="-6"/>
          <w:lang w:val="nl-NL" w:eastAsia="en-US"/>
        </w:rPr>
        <w:t xml:space="preserve">Quy định về việc lập, phê duyệt, điều chỉnh quy hoạch phân </w:t>
      </w:r>
      <w:r>
        <w:rPr>
          <w:rFonts w:eastAsia="Times New Roman"/>
          <w:b/>
          <w:bCs/>
          <w:iCs/>
          <w:spacing w:val="-4"/>
          <w:lang w:val="nl-NL" w:eastAsia="en-US"/>
        </w:rPr>
        <w:t>khu các</w:t>
      </w:r>
      <w:r>
        <w:rPr>
          <w:rFonts w:asciiTheme="minorHAnsi" w:eastAsia="Times New Roman" w:hAnsiTheme="minorHAnsi"/>
          <w:b/>
          <w:bCs/>
          <w:spacing w:val="-6"/>
          <w:lang w:val="vi-VN" w:eastAsia="en-US"/>
        </w:rPr>
        <w:t xml:space="preserve"> </w:t>
      </w:r>
      <w:r>
        <w:rPr>
          <w:rFonts w:ascii="Times New Roman Bold" w:eastAsia="Times New Roman" w:hAnsi="Times New Roman Bold"/>
          <w:b/>
          <w:bCs/>
          <w:spacing w:val="-6"/>
          <w:lang w:val="nl-NL" w:eastAsia="en-US"/>
        </w:rPr>
        <w:t xml:space="preserve">khu vực             </w:t>
      </w:r>
      <w:r>
        <w:rPr>
          <w:rFonts w:ascii="Times New Roman Bold" w:eastAsia="Times New Roman" w:hAnsi="Times New Roman Bold"/>
          <w:b/>
          <w:bCs/>
          <w:spacing w:val="-4"/>
          <w:lang w:val="nl-NL" w:eastAsia="en-US"/>
        </w:rPr>
        <w:t xml:space="preserve">hình thành đô thị </w:t>
      </w:r>
      <w:r>
        <w:rPr>
          <w:rFonts w:eastAsia="Times New Roman"/>
          <w:b/>
          <w:bCs/>
          <w:iCs/>
          <w:spacing w:val="-4"/>
          <w:lang w:val="nl-NL" w:eastAsia="en-US"/>
        </w:rPr>
        <w:t>khi thực hiện sắp xếp, tổ chức lại đơn vị hành chính</w:t>
      </w:r>
      <w:r>
        <w:rPr>
          <w:rFonts w:eastAsia="Times New Roman"/>
          <w:b/>
          <w:bCs/>
          <w:iCs/>
          <w:spacing w:val="-6"/>
          <w:lang w:val="nl-NL" w:eastAsia="en-US"/>
        </w:rPr>
        <w:t xml:space="preserve">              các cấp và xây dựng mô hình tổ chức chính quyền địa phương 02 cấp</w:t>
      </w:r>
    </w:p>
    <w:p w:rsidR="002B5820" w:rsidRDefault="002B5820" w:rsidP="002B5820">
      <w:pPr>
        <w:widowControl w:val="0"/>
        <w:spacing w:before="0" w:after="0" w:line="240" w:lineRule="auto"/>
        <w:ind w:firstLine="0"/>
        <w:jc w:val="center"/>
        <w:rPr>
          <w:bCs/>
          <w:iCs/>
          <w:shd w:val="clear" w:color="auto" w:fill="FFFFFF"/>
          <w:vertAlign w:val="superscript"/>
          <w:lang w:val="nl-NL"/>
        </w:rPr>
      </w:pPr>
      <w:r>
        <w:rPr>
          <w:bCs/>
          <w:iCs/>
          <w:shd w:val="clear" w:color="auto" w:fill="FFFFFF"/>
          <w:vertAlign w:val="superscript"/>
          <w:lang w:val="nl-NL"/>
        </w:rPr>
        <w:t>_____________</w:t>
      </w:r>
    </w:p>
    <w:p w:rsidR="002B5820" w:rsidRDefault="002B5820" w:rsidP="002B5820">
      <w:pPr>
        <w:widowControl w:val="0"/>
        <w:spacing w:after="0" w:line="240" w:lineRule="auto"/>
        <w:ind w:firstLine="0"/>
        <w:jc w:val="center"/>
        <w:rPr>
          <w:bCs/>
          <w:iCs/>
          <w:sz w:val="18"/>
          <w:shd w:val="clear" w:color="auto" w:fill="FFFFFF"/>
          <w:vertAlign w:val="superscript"/>
          <w:lang w:val="nl-NL"/>
        </w:rPr>
      </w:pPr>
    </w:p>
    <w:p w:rsidR="002B5820" w:rsidRDefault="002B5820" w:rsidP="002B5820">
      <w:pPr>
        <w:widowControl w:val="0"/>
        <w:spacing w:after="0" w:line="240" w:lineRule="auto"/>
        <w:rPr>
          <w:bCs/>
          <w:i/>
          <w:shd w:val="clear" w:color="auto" w:fill="FFFFFF"/>
          <w:lang w:val="nl-NL"/>
        </w:rPr>
      </w:pPr>
      <w:r>
        <w:rPr>
          <w:bCs/>
          <w:i/>
          <w:shd w:val="clear" w:color="auto" w:fill="FFFFFF"/>
          <w:lang w:val="nl-NL"/>
        </w:rPr>
        <w:t>Căn cứ Luật Tổ chức Chính phủ ngày 18 tháng 02 năm 2025;</w:t>
      </w:r>
    </w:p>
    <w:p w:rsidR="002B5820" w:rsidRDefault="002B5820" w:rsidP="002B5820">
      <w:pPr>
        <w:suppressLineNumbers/>
        <w:suppressAutoHyphens/>
        <w:spacing w:after="0" w:line="240" w:lineRule="auto"/>
        <w:rPr>
          <w:rFonts w:ascii="Times New Roman Italic" w:eastAsia="Times New Roman" w:hAnsi="Times New Roman Italic"/>
          <w:i/>
          <w:iCs/>
          <w:spacing w:val="-10"/>
          <w:lang w:val="nl-NL" w:eastAsia="en-US"/>
        </w:rPr>
      </w:pPr>
      <w:r>
        <w:rPr>
          <w:rFonts w:ascii="Times New Roman Italic" w:eastAsia="Times New Roman" w:hAnsi="Times New Roman Italic"/>
          <w:i/>
          <w:iCs/>
          <w:spacing w:val="-10"/>
          <w:lang w:val="nl-NL" w:eastAsia="en-US"/>
        </w:rPr>
        <w:t xml:space="preserve">Căn cứ Luật Ban hành văn bản quy phạm pháp luật </w:t>
      </w:r>
      <w:r>
        <w:rPr>
          <w:rFonts w:ascii="Times New Roman Italic" w:hAnsi="Times New Roman Italic"/>
          <w:bCs/>
          <w:i/>
          <w:spacing w:val="-10"/>
          <w:shd w:val="clear" w:color="auto" w:fill="FFFFFF"/>
          <w:lang w:val="nl-NL"/>
        </w:rPr>
        <w:t xml:space="preserve">ngày 19 tháng 02 </w:t>
      </w:r>
      <w:r>
        <w:rPr>
          <w:rFonts w:ascii="Times New Roman Italic" w:eastAsia="Times New Roman" w:hAnsi="Times New Roman Italic"/>
          <w:i/>
          <w:iCs/>
          <w:spacing w:val="-10"/>
          <w:lang w:val="nl-NL" w:eastAsia="en-US"/>
        </w:rPr>
        <w:t>năm 2025;</w:t>
      </w:r>
    </w:p>
    <w:p w:rsidR="002B5820" w:rsidRDefault="002B5820" w:rsidP="002B5820">
      <w:pPr>
        <w:suppressLineNumbers/>
        <w:suppressAutoHyphens/>
        <w:spacing w:after="0" w:line="240" w:lineRule="auto"/>
        <w:rPr>
          <w:rFonts w:eastAsia="Times New Roman"/>
          <w:i/>
          <w:iCs/>
          <w:lang w:val="nl-NL" w:eastAsia="en-US"/>
        </w:rPr>
      </w:pPr>
      <w:r>
        <w:rPr>
          <w:i/>
          <w:spacing w:val="-2"/>
          <w:lang w:val="pt-BR"/>
        </w:rPr>
        <w:t>Căn cứ Luật Tổ chức chính quyền địa phương ngày 16 tháng 6 năm 2025;</w:t>
      </w:r>
    </w:p>
    <w:p w:rsidR="002B5820" w:rsidRDefault="002B5820" w:rsidP="002B5820">
      <w:pPr>
        <w:suppressLineNumbers/>
        <w:suppressAutoHyphens/>
        <w:spacing w:after="0" w:line="240" w:lineRule="auto"/>
        <w:rPr>
          <w:rFonts w:ascii="Times New Roman Italic" w:eastAsia="Times New Roman" w:hAnsi="Times New Roman Italic"/>
          <w:i/>
          <w:iCs/>
          <w:spacing w:val="-6"/>
          <w:lang w:val="nl-NL" w:eastAsia="en-US"/>
        </w:rPr>
      </w:pPr>
      <w:r>
        <w:rPr>
          <w:rFonts w:eastAsia="Times New Roman"/>
          <w:i/>
          <w:iCs/>
          <w:lang w:val="nl-NL" w:eastAsia="en-US"/>
        </w:rPr>
        <w:t xml:space="preserve">Căn cứ Nghị quyết số 190/2025/QH15 ngày 19 tháng 02 năm 2025 của Quốc hội </w:t>
      </w:r>
      <w:r>
        <w:rPr>
          <w:rFonts w:ascii="Times New Roman Italic" w:eastAsia="Times New Roman" w:hAnsi="Times New Roman Italic"/>
          <w:i/>
          <w:iCs/>
          <w:spacing w:val="-6"/>
          <w:lang w:val="nl-NL" w:eastAsia="en-US"/>
        </w:rPr>
        <w:t>quy định về xử lý một số vấn đề liên quan đến sắp xếp tổ chức bộ máy nhà nước;</w:t>
      </w:r>
    </w:p>
    <w:p w:rsidR="002B5820" w:rsidRDefault="002B5820" w:rsidP="002B5820">
      <w:pPr>
        <w:suppressLineNumbers/>
        <w:suppressAutoHyphens/>
        <w:spacing w:after="0" w:line="240" w:lineRule="auto"/>
        <w:rPr>
          <w:rFonts w:eastAsia="Times New Roman"/>
          <w:i/>
          <w:iCs/>
          <w:lang w:val="nl-NL" w:eastAsia="en-US"/>
        </w:rPr>
      </w:pPr>
      <w:r>
        <w:rPr>
          <w:rFonts w:eastAsia="Times New Roman"/>
          <w:i/>
          <w:iCs/>
          <w:lang w:val="nl-NL" w:eastAsia="en-US"/>
        </w:rPr>
        <w:t>Căn cứ Nghị quyết số 206/2025/QH15 ngày 24 tháng 6 năm 2025 của Quốc hội về cơ chế xử lý khó khăn, vướng mắc do quy định của pháp luật;</w:t>
      </w:r>
    </w:p>
    <w:p w:rsidR="002B5820" w:rsidRDefault="002B5820" w:rsidP="002B5820">
      <w:pPr>
        <w:pStyle w:val="ListParagraph"/>
        <w:spacing w:after="0" w:line="240" w:lineRule="auto"/>
        <w:ind w:left="0"/>
        <w:rPr>
          <w:rFonts w:eastAsia="Times New Roman"/>
          <w:i/>
          <w:iCs/>
          <w:lang w:val="nl-NL" w:eastAsia="en-US"/>
        </w:rPr>
      </w:pPr>
      <w:r>
        <w:rPr>
          <w:rFonts w:ascii="Times New Roman Italic" w:hAnsi="Times New Roman Italic"/>
          <w:i/>
          <w:spacing w:val="-6"/>
        </w:rPr>
        <w:t>Căn cứ Nghị quyết số 66-NQ/TW ngày 30 tháng 4 năm 2025 của Bộ Chính trị</w:t>
      </w:r>
      <w:r>
        <w:rPr>
          <w:i/>
        </w:rPr>
        <w:t xml:space="preserve"> về đổi mới công tác xây dựng và thi hành pháp luật đáp ứng yêu cầu phát triển đất nước trong kỷ nguyên mới;</w:t>
      </w:r>
    </w:p>
    <w:p w:rsidR="002B5820" w:rsidRDefault="002B5820" w:rsidP="002B5820">
      <w:pPr>
        <w:suppressLineNumbers/>
        <w:suppressAutoHyphens/>
        <w:spacing w:after="0" w:line="240" w:lineRule="auto"/>
        <w:rPr>
          <w:rFonts w:eastAsia="Times New Roman"/>
          <w:i/>
          <w:iCs/>
          <w:lang w:val="nl-NL" w:eastAsia="en-US"/>
        </w:rPr>
      </w:pPr>
      <w:r>
        <w:rPr>
          <w:rFonts w:eastAsia="Times New Roman"/>
          <w:i/>
          <w:iCs/>
          <w:lang w:val="nl-NL" w:eastAsia="en-US"/>
        </w:rPr>
        <w:t>Căn cứ Nghị quyết số 76/2025/UBTVQH15 ngày 14 tháng 4 năm 2025 của Ủy ban Thường vụ Quốc hội về việc sắp xếp đơn vị hành chính năm 2025;</w:t>
      </w:r>
    </w:p>
    <w:p w:rsidR="002B5820" w:rsidRDefault="002B5820" w:rsidP="002B5820">
      <w:pPr>
        <w:suppressLineNumbers/>
        <w:suppressAutoHyphens/>
        <w:spacing w:after="0" w:line="240" w:lineRule="auto"/>
        <w:rPr>
          <w:rFonts w:eastAsia="Times New Roman"/>
          <w:i/>
          <w:iCs/>
          <w:lang w:val="nl-NL" w:eastAsia="en-US"/>
        </w:rPr>
      </w:pPr>
      <w:r>
        <w:rPr>
          <w:rFonts w:eastAsia="Times New Roman"/>
          <w:i/>
          <w:iCs/>
          <w:lang w:val="nl-NL" w:eastAsia="en-US"/>
        </w:rPr>
        <w:t>Theo đề nghị của Bộ trưởng Bộ Xây dựng;</w:t>
      </w:r>
    </w:p>
    <w:p w:rsidR="002B5820" w:rsidRDefault="002B5820" w:rsidP="002B5820">
      <w:pPr>
        <w:suppressLineNumbers/>
        <w:suppressAutoHyphens/>
        <w:spacing w:after="0" w:line="240" w:lineRule="auto"/>
        <w:rPr>
          <w:rFonts w:eastAsia="Times New Roman"/>
          <w:bCs/>
          <w:i/>
          <w:iCs/>
          <w:lang w:val="nl-NL" w:eastAsia="en-US"/>
        </w:rPr>
      </w:pPr>
      <w:r>
        <w:rPr>
          <w:rFonts w:eastAsia="Times New Roman"/>
          <w:i/>
          <w:iCs/>
          <w:lang w:val="nl-NL" w:eastAsia="en-US"/>
        </w:rPr>
        <w:t xml:space="preserve">Chính phủ ban hành Nghị quyết quy định về việc lập, phê duyệt, điều chỉnh quy hoạch phân khu các khu vực hình thành đô thị </w:t>
      </w:r>
      <w:r>
        <w:rPr>
          <w:rFonts w:eastAsia="Times New Roman"/>
          <w:bCs/>
          <w:i/>
          <w:iCs/>
          <w:lang w:val="nl-NL" w:eastAsia="en-US"/>
        </w:rPr>
        <w:t>khi thực hiện sắp xếp, tổ chức lại đơn vị hành chính các cấp và xây dựng mô hình tổ chức chính quyền địa phương 02 cấp.</w:t>
      </w:r>
    </w:p>
    <w:p w:rsidR="002B5820" w:rsidRDefault="002B5820" w:rsidP="002B5820">
      <w:pPr>
        <w:suppressLineNumbers/>
        <w:suppressAutoHyphens/>
        <w:spacing w:after="0" w:line="240" w:lineRule="auto"/>
        <w:rPr>
          <w:rFonts w:eastAsia="Times New Roman"/>
          <w:i/>
          <w:iCs/>
          <w:sz w:val="14"/>
          <w:lang w:val="nl-NL" w:eastAsia="en-US"/>
        </w:rPr>
      </w:pPr>
    </w:p>
    <w:p w:rsidR="002B5820" w:rsidRDefault="002B5820" w:rsidP="002B5820">
      <w:pPr>
        <w:suppressLineNumbers/>
        <w:suppressAutoHyphens/>
        <w:spacing w:after="0" w:line="240" w:lineRule="auto"/>
        <w:rPr>
          <w:rFonts w:eastAsia="Times New Roman"/>
          <w:b/>
          <w:lang w:val="pt-BR" w:eastAsia="en-US"/>
        </w:rPr>
      </w:pPr>
      <w:bookmarkStart w:id="2" w:name="_Hlk119945953"/>
      <w:r>
        <w:rPr>
          <w:rFonts w:eastAsia="Times New Roman"/>
          <w:b/>
          <w:lang w:val="pt-BR" w:eastAsia="en-US"/>
        </w:rPr>
        <w:t>Điều 1. Phạm vi điều chỉnh</w:t>
      </w:r>
    </w:p>
    <w:p w:rsidR="002B5820" w:rsidRDefault="002B5820" w:rsidP="002B5820">
      <w:pPr>
        <w:suppressLineNumbers/>
        <w:suppressAutoHyphens/>
        <w:spacing w:after="0" w:line="240" w:lineRule="auto"/>
        <w:rPr>
          <w:rFonts w:eastAsia="Times New Roman"/>
          <w:iCs/>
          <w:spacing w:val="-2"/>
          <w:lang w:val="nl-NL" w:eastAsia="en-US"/>
        </w:rPr>
      </w:pPr>
      <w:r>
        <w:rPr>
          <w:rFonts w:eastAsia="Times New Roman"/>
          <w:iCs/>
          <w:spacing w:val="-2"/>
          <w:lang w:val="nl-NL" w:eastAsia="en-US"/>
        </w:rPr>
        <w:t>Nghị quyết này quy định về việc lập, phê duyệt, điều chỉnh quy hoạch phân khu các khu vực hình thành đô thị khi thực hiện sắp xếp, tổ chức lại đơn vị hành chính các cấp và xây dựng mô hình tổ chức chính quyền địa phương 02 cấp.</w:t>
      </w:r>
    </w:p>
    <w:p w:rsidR="002B5820" w:rsidRDefault="002B5820" w:rsidP="002B5820">
      <w:pPr>
        <w:suppressLineNumbers/>
        <w:suppressAutoHyphens/>
        <w:spacing w:after="0" w:line="240" w:lineRule="auto"/>
        <w:rPr>
          <w:rFonts w:eastAsia="Times New Roman"/>
          <w:b/>
          <w:iCs/>
          <w:lang w:val="nl-NL" w:eastAsia="en-US"/>
        </w:rPr>
      </w:pPr>
      <w:r>
        <w:rPr>
          <w:rFonts w:eastAsia="Times New Roman"/>
          <w:b/>
          <w:iCs/>
          <w:lang w:val="nl-NL" w:eastAsia="en-US"/>
        </w:rPr>
        <w:t>Điều 2. Đối tượng áp dụng</w:t>
      </w:r>
    </w:p>
    <w:p w:rsidR="002B5820" w:rsidRDefault="002B5820" w:rsidP="002B5820">
      <w:pPr>
        <w:suppressLineNumbers/>
        <w:suppressAutoHyphens/>
        <w:spacing w:after="0" w:line="240" w:lineRule="auto"/>
        <w:rPr>
          <w:rFonts w:eastAsia="Times New Roman"/>
          <w:iCs/>
          <w:lang w:val="nl-NL" w:eastAsia="en-US"/>
        </w:rPr>
      </w:pPr>
      <w:r>
        <w:rPr>
          <w:rFonts w:eastAsia="Times New Roman"/>
          <w:iCs/>
          <w:lang w:val="nl-NL" w:eastAsia="en-US"/>
        </w:rPr>
        <w:t>Nghị quyết này áp dụng đối với các cơ quan, tổ chức, cá nhân tham gia hoặc có liên quan trong lập, phê duyệt, điều chỉnh quy hoạch phân khu các khu vực hình thành đô thị khi thực hiện sắp xếp, tổ chức lại đơn vị hành chính các cấp và xây dựng mô hình tổ chức chính quyền địa phương 02 cấp.</w:t>
      </w:r>
    </w:p>
    <w:bookmarkEnd w:id="0"/>
    <w:bookmarkEnd w:id="1"/>
    <w:bookmarkEnd w:id="2"/>
    <w:p w:rsidR="002B5820" w:rsidRDefault="002B5820" w:rsidP="002B5820">
      <w:pPr>
        <w:suppressLineNumbers/>
        <w:suppressAutoHyphens/>
        <w:spacing w:before="60" w:after="0" w:line="240" w:lineRule="auto"/>
        <w:rPr>
          <w:rFonts w:eastAsia="Times New Roman"/>
          <w:b/>
          <w:lang w:val="pt-BR" w:eastAsia="en-US"/>
        </w:rPr>
      </w:pPr>
      <w:r>
        <w:rPr>
          <w:rFonts w:eastAsia="Times New Roman"/>
          <w:b/>
          <w:lang w:val="pt-BR" w:eastAsia="en-US"/>
        </w:rPr>
        <w:lastRenderedPageBreak/>
        <w:t xml:space="preserve">Điều 3. Chính sách về việc </w:t>
      </w:r>
      <w:r>
        <w:rPr>
          <w:rFonts w:eastAsia="Times New Roman"/>
          <w:b/>
          <w:iCs/>
          <w:lang w:val="nl-NL" w:eastAsia="en-US"/>
        </w:rPr>
        <w:t xml:space="preserve">lập, phê duyệt, điều chỉnh quy hoạch phân khu các khu vực hình thành đô thị </w:t>
      </w:r>
    </w:p>
    <w:p w:rsidR="002B5820" w:rsidRDefault="002B5820" w:rsidP="002B5820">
      <w:pPr>
        <w:suppressLineNumbers/>
        <w:suppressAutoHyphens/>
        <w:spacing w:before="60" w:after="0" w:line="240" w:lineRule="auto"/>
        <w:rPr>
          <w:rFonts w:eastAsia="Times New Roman"/>
          <w:iCs/>
          <w:lang w:val="nl-NL" w:eastAsia="en-US"/>
        </w:rPr>
      </w:pPr>
      <w:r>
        <w:rPr>
          <w:rFonts w:eastAsia="Times New Roman"/>
          <w:iCs/>
          <w:lang w:val="nl-NL" w:eastAsia="en-US"/>
        </w:rPr>
        <w:t>1. Cho phép lập và phê duyệt hoặc điều chỉnh quy hoạch phân khu các khu vực hình thành đô thị đồng thời với quá trình lập, điều chỉnh, bổ sung quy hoạch tỉnh, quy hoạch chung đô thị khi thực hiện sắp xếp, tổ chức lại đơn vị hành chính các cấp và xây dựng mô hình tổ chức chính quyền địa phương 02 cấp cho trường hợp bảo đảm điều kiện, yêu cầu quy định tại khoản 2, khoản 3 Điều này.</w:t>
      </w:r>
    </w:p>
    <w:p w:rsidR="002B5820" w:rsidRDefault="002B5820" w:rsidP="002B5820">
      <w:pPr>
        <w:suppressLineNumbers/>
        <w:suppressAutoHyphens/>
        <w:spacing w:before="60" w:after="0" w:line="240" w:lineRule="auto"/>
        <w:rPr>
          <w:rFonts w:eastAsia="Times New Roman"/>
          <w:iCs/>
          <w:spacing w:val="-2"/>
          <w:lang w:val="nl-NL"/>
        </w:rPr>
      </w:pPr>
      <w:r>
        <w:rPr>
          <w:rFonts w:eastAsia="Times New Roman"/>
          <w:iCs/>
          <w:lang w:val="nl-NL" w:eastAsia="en-US"/>
        </w:rPr>
        <w:t>2. Trường hợp áp dụng: Khu vực hình thành đô thị được Ủy ban nhân dân cấp tỉnh xác định có vai trò thúc đẩy phát triển kinh tế - xã hội của địa phương, có quy mô dân số dự báo đạt từ 45.000 người trở lên đối với thành phố trực thuộc trung ương; từ 15.000 người trở lên đối với tỉnh hình thành sau sắp xếp ở khu vực miền núi, vùng cao, biên giới; từ 21.000 người trở lên đối với các tỉnh hình thành sau sắp xếp còn lại. Ủy ban nhân dân cấp tỉnh báo cáo Hội đồng nhân dân cùng cấp quyết định đối với trường hợp quy mô dân số dự báo dưới quy định trên.</w:t>
      </w:r>
    </w:p>
    <w:p w:rsidR="002B5820" w:rsidRDefault="002B5820" w:rsidP="002B5820">
      <w:pPr>
        <w:suppressLineNumbers/>
        <w:suppressAutoHyphens/>
        <w:spacing w:before="60" w:after="0" w:line="240" w:lineRule="auto"/>
        <w:rPr>
          <w:rFonts w:eastAsia="Times New Roman"/>
          <w:iCs/>
          <w:lang w:val="nl-NL" w:eastAsia="en-US"/>
        </w:rPr>
      </w:pPr>
      <w:r>
        <w:rPr>
          <w:rFonts w:eastAsia="Times New Roman"/>
          <w:iCs/>
          <w:lang w:val="nl-NL" w:eastAsia="en-US"/>
        </w:rPr>
        <w:t>3. Việc tổ chức lập, phê duyệt, điều chỉnh quy hoạch phân khu đô thị theo quy định tại Nghị quyết này phải bảo đảm đáp ứng các yêu cầu sau:</w:t>
      </w:r>
    </w:p>
    <w:p w:rsidR="002B5820" w:rsidRDefault="002B5820" w:rsidP="002B5820">
      <w:pPr>
        <w:suppressLineNumbers/>
        <w:suppressAutoHyphens/>
        <w:spacing w:before="60" w:after="0" w:line="240" w:lineRule="auto"/>
        <w:rPr>
          <w:rFonts w:eastAsia="Times New Roman"/>
          <w:iCs/>
          <w:spacing w:val="-4"/>
          <w:lang w:val="nl-NL" w:eastAsia="en-US"/>
        </w:rPr>
      </w:pPr>
      <w:r>
        <w:rPr>
          <w:rFonts w:eastAsia="Times New Roman"/>
          <w:iCs/>
          <w:spacing w:val="-4"/>
          <w:lang w:val="nl-NL" w:eastAsia="en-US"/>
        </w:rPr>
        <w:t xml:space="preserve">a) Phạm vi lập quy hoạch căn cứ trên cơ sở rà soát, đánh giá, xác định tính chất, chức năng, có vai trò thúc đẩy phát triển kinh tế - xã hội và khả năng kết nối hạ tầng kỹ thuật, hạ tầng xã hội của khu vực dự kiến lập quy hoạch phân khu trong tổng thể yêu cầu phát triển của đơn vị hành chính cấp tỉnh dự kiến và phạm vi phát triển đô thị theo phương án sắp xếp, tổ chức lại đơn vị hành chính các cấp. </w:t>
      </w:r>
    </w:p>
    <w:p w:rsidR="002B5820" w:rsidRDefault="002B5820" w:rsidP="002B5820">
      <w:pPr>
        <w:suppressLineNumbers/>
        <w:suppressAutoHyphens/>
        <w:spacing w:before="60" w:after="0" w:line="240" w:lineRule="auto"/>
        <w:rPr>
          <w:rFonts w:eastAsia="Times New Roman"/>
          <w:iCs/>
          <w:spacing w:val="-4"/>
          <w:lang w:val="nl-NL" w:eastAsia="en-US"/>
        </w:rPr>
      </w:pPr>
      <w:r>
        <w:rPr>
          <w:rFonts w:eastAsia="Times New Roman"/>
          <w:iCs/>
          <w:spacing w:val="-4"/>
          <w:lang w:val="nl-NL" w:eastAsia="en-US"/>
        </w:rPr>
        <w:t xml:space="preserve">b) Trình tự, thủ tục, trách nhiệm tổ chức lập, phê duyệt, điều chỉnh quy hoạch phân khu thực hiện như sau: Ủy ban nhân dân cấp tỉnh tổ chức lập hoặc phân cấp, ủy quyền lập quy hoạch phân khu quy định tại khoản 2 Điều này. Cơ quan chuyên môn quản lý quy hoạch đô thị cấp tỉnh tổ chức thẩm định, báo cáo Ủy ban nhân dân cấp tỉnh phê duyệt. Chính quyền địa phương cấp xã có liên quan đến khu vực lập quy hoạch phân khu và cơ quan chuyên môn quản lý quy hoạch đô thị cấp tỉnh phải chủ động tham gia quá trình chỉ đạo, tổ chức lập, điều chỉnh nhiệm vụ quy hoạch, quy hoạch phân khu đô thị để bám sát, kịp thời xử lý các yêu cầu phát sinh trong quá trình sắp xếp, tổ chức lại đơn vị hành chính các cấp. </w:t>
      </w:r>
    </w:p>
    <w:p w:rsidR="002B5820" w:rsidRDefault="002B5820" w:rsidP="002B5820">
      <w:pPr>
        <w:suppressLineNumbers/>
        <w:suppressAutoHyphens/>
        <w:spacing w:before="60" w:after="0" w:line="240" w:lineRule="auto"/>
        <w:rPr>
          <w:rFonts w:eastAsia="Times New Roman"/>
          <w:iCs/>
          <w:lang w:val="nl-NL" w:eastAsia="en-US"/>
        </w:rPr>
      </w:pPr>
      <w:r>
        <w:rPr>
          <w:rFonts w:eastAsia="Times New Roman"/>
          <w:iCs/>
          <w:lang w:val="nl-NL" w:eastAsia="en-US"/>
        </w:rPr>
        <w:t>c) Nội dung quy hoạch phân khu được lập, phê duyệt, điều chỉnh phải tuân thủ</w:t>
      </w:r>
      <w:r>
        <w:rPr>
          <w:rFonts w:eastAsia="Malgun Gothic"/>
          <w:lang w:val="nl-NL" w:eastAsia="ko-KR"/>
        </w:rPr>
        <w:t xml:space="preserve"> </w:t>
      </w:r>
      <w:r>
        <w:rPr>
          <w:rFonts w:eastAsia="Malgun Gothic"/>
          <w:lang w:eastAsia="ko-KR"/>
        </w:rPr>
        <w:t>quy chuẩn, tiêu chuẩn về quy hoạch đô thị và nông thôn</w:t>
      </w:r>
      <w:r>
        <w:rPr>
          <w:rFonts w:eastAsia="Times New Roman"/>
          <w:iCs/>
          <w:lang w:val="nl-NL" w:eastAsia="en-US"/>
        </w:rPr>
        <w:t xml:space="preserve"> và pháp luật có liên quan, bảo đảm tính thống nhất, đồng bộ về quy hoạch và phát triển đô thị trong tình hình mới.</w:t>
      </w:r>
    </w:p>
    <w:p w:rsidR="002B5820" w:rsidRDefault="002B5820" w:rsidP="002B5820">
      <w:pPr>
        <w:suppressLineNumbers/>
        <w:suppressAutoHyphens/>
        <w:spacing w:before="60" w:after="0" w:line="240" w:lineRule="auto"/>
        <w:rPr>
          <w:rFonts w:eastAsia="Times New Roman"/>
          <w:b/>
          <w:lang w:val="pt-BR" w:eastAsia="en-US"/>
        </w:rPr>
      </w:pPr>
      <w:r>
        <w:rPr>
          <w:rFonts w:eastAsia="Times New Roman"/>
          <w:b/>
          <w:lang w:val="pt-BR" w:eastAsia="en-US"/>
        </w:rPr>
        <w:t>Điều 4. Hiệu lực thi hành</w:t>
      </w:r>
    </w:p>
    <w:p w:rsidR="002B5820" w:rsidRDefault="002B5820" w:rsidP="002B5820">
      <w:pPr>
        <w:suppressLineNumbers/>
        <w:suppressAutoHyphens/>
        <w:spacing w:before="60" w:after="0" w:line="240" w:lineRule="auto"/>
        <w:rPr>
          <w:iCs/>
          <w:spacing w:val="-2"/>
          <w:lang w:val="nl-NL"/>
        </w:rPr>
      </w:pPr>
      <w:r>
        <w:rPr>
          <w:iCs/>
          <w:spacing w:val="-2"/>
          <w:lang w:val="nl-NL"/>
        </w:rPr>
        <w:t>Nghị quyết này có hiệu lực thi hành kể từ ngày ký ban hành và được thực hiện đến hết ngày 28 tháng 02 năm 2027.</w:t>
      </w:r>
    </w:p>
    <w:p w:rsidR="002B5820" w:rsidRDefault="002B5820" w:rsidP="002B5820">
      <w:pPr>
        <w:suppressLineNumbers/>
        <w:suppressAutoHyphens/>
        <w:spacing w:before="60" w:after="0" w:line="240" w:lineRule="auto"/>
        <w:rPr>
          <w:rFonts w:eastAsia="Times New Roman"/>
          <w:b/>
          <w:lang w:val="pt-BR" w:eastAsia="en-US"/>
        </w:rPr>
      </w:pPr>
      <w:bookmarkStart w:id="3" w:name="dieu_71"/>
      <w:r>
        <w:rPr>
          <w:rFonts w:eastAsia="Times New Roman"/>
          <w:b/>
          <w:lang w:val="pt-BR" w:eastAsia="en-US"/>
        </w:rPr>
        <w:t xml:space="preserve">Điều 5. </w:t>
      </w:r>
      <w:bookmarkEnd w:id="3"/>
      <w:r>
        <w:rPr>
          <w:rFonts w:eastAsia="Times New Roman"/>
          <w:b/>
          <w:lang w:val="pt-BR" w:eastAsia="en-US"/>
        </w:rPr>
        <w:t>Trách nhiệm thi hành</w:t>
      </w:r>
    </w:p>
    <w:p w:rsidR="002B5820" w:rsidRDefault="002B5820" w:rsidP="002B5820">
      <w:pPr>
        <w:suppressLineNumbers/>
        <w:suppressAutoHyphens/>
        <w:spacing w:before="60" w:after="0" w:line="240" w:lineRule="auto"/>
        <w:rPr>
          <w:rFonts w:eastAsia="Times New Roman"/>
          <w:lang w:val="pt-BR" w:eastAsia="en-US"/>
        </w:rPr>
      </w:pPr>
      <w:r>
        <w:rPr>
          <w:rFonts w:eastAsia="Times New Roman"/>
          <w:lang w:val="pt-BR" w:eastAsia="en-US"/>
        </w:rPr>
        <w:t xml:space="preserve">1. Các Bộ trưởng, Thủ trưởng cơ quan ngang bộ, Thủ trưởng cơ quan thuộc Chính phủ, Chủ tịch Ủy ban nhân dân các tỉnh, thành phố trực thuộc </w:t>
      </w:r>
      <w:r>
        <w:rPr>
          <w:rFonts w:eastAsia="Times New Roman"/>
          <w:lang w:val="vi-VN" w:eastAsia="en-US"/>
        </w:rPr>
        <w:t>T</w:t>
      </w:r>
      <w:r>
        <w:rPr>
          <w:rFonts w:eastAsia="Times New Roman"/>
          <w:lang w:val="pt-BR" w:eastAsia="en-US"/>
        </w:rPr>
        <w:t>rung ương chịu trách nhiệm thi hành Nghị quyết này.</w:t>
      </w:r>
    </w:p>
    <w:p w:rsidR="002B5820" w:rsidRDefault="002B5820" w:rsidP="002B5820">
      <w:pPr>
        <w:suppressLineNumbers/>
        <w:suppressAutoHyphens/>
        <w:spacing w:after="0" w:line="240" w:lineRule="auto"/>
        <w:rPr>
          <w:rFonts w:eastAsia="Times New Roman"/>
          <w:lang w:val="pt-BR" w:eastAsia="en-US"/>
        </w:rPr>
      </w:pPr>
      <w:r>
        <w:rPr>
          <w:rFonts w:eastAsia="Times New Roman"/>
          <w:lang w:val="pt-BR" w:eastAsia="en-US"/>
        </w:rPr>
        <w:lastRenderedPageBreak/>
        <w:t xml:space="preserve">2. Bộ Xây dựng trong phạm vi chức năng, nhiệm vụ của mình có trách nhiệm hướng dẫn thi hành Nghị quyết này và phối hợp với Bộ Nội vụ báo cáo cấp có thẩm quyền theo quy định của </w:t>
      </w:r>
      <w:r>
        <w:rPr>
          <w:spacing w:val="-2"/>
          <w:lang w:val="pt-BR"/>
        </w:rPr>
        <w:t xml:space="preserve">Luật Tổ chức chính quyền địa phương số 72/2025/QH15 ngày 16 tháng 6 năm 2025 </w:t>
      </w:r>
      <w:r>
        <w:rPr>
          <w:rFonts w:eastAsia="Times New Roman"/>
          <w:lang w:val="pt-BR" w:eastAsia="en-US"/>
        </w:rPr>
        <w:t>và Nghị quyết số 190/2025/QH15 ngày 19 tháng 02 năm 2025 của Quốc hội quy định về xử lý một số vấn đề liên quan đến sắp xếp tổ chức bộ máy nhà nước.</w:t>
      </w:r>
    </w:p>
    <w:p w:rsidR="002B5820" w:rsidRDefault="002B5820" w:rsidP="002B5820">
      <w:pPr>
        <w:suppressLineNumbers/>
        <w:suppressAutoHyphens/>
        <w:spacing w:after="0" w:line="240" w:lineRule="auto"/>
        <w:rPr>
          <w:rFonts w:eastAsia="Times New Roman"/>
          <w:lang w:val="pt-BR" w:eastAsia="en-US"/>
        </w:rPr>
      </w:pPr>
      <w:r>
        <w:rPr>
          <w:rFonts w:eastAsia="Times New Roman"/>
          <w:lang w:val="pt-BR" w:eastAsia="en-US"/>
        </w:rPr>
        <w:t xml:space="preserve">3. Ủy ban nhân dân cấp tỉnh tổ chức rà soát, điều chỉnh các quy hoạch tỉnh, quy hoạch chung đô thị và quy hoạch có liên quan đảm bảo thống nhất, đồng bộ với quy hoạch phân khu </w:t>
      </w:r>
      <w:r>
        <w:rPr>
          <w:rFonts w:eastAsia="Times New Roman"/>
          <w:lang w:val="vi-VN" w:eastAsia="en-US"/>
        </w:rPr>
        <w:t xml:space="preserve">các </w:t>
      </w:r>
      <w:r>
        <w:rPr>
          <w:rFonts w:eastAsia="Times New Roman"/>
          <w:lang w:val="pt-BR" w:eastAsia="en-US"/>
        </w:rPr>
        <w:t>khu vực hình thành đô thị được lập, phê duyệt, điều chỉnh; giám sát việc thực hiện theo quy định của Nghị quyết này.</w:t>
      </w:r>
    </w:p>
    <w:p w:rsidR="002B5820" w:rsidRDefault="002B5820" w:rsidP="002B5820">
      <w:pPr>
        <w:spacing w:after="0" w:line="240" w:lineRule="auto"/>
        <w:ind w:firstLine="709"/>
        <w:rPr>
          <w:rFonts w:eastAsia="Times New Roman"/>
          <w:lang w:val="pt-BR" w:eastAsia="en-US"/>
        </w:rPr>
      </w:pPr>
    </w:p>
    <w:tbl>
      <w:tblPr>
        <w:tblW w:w="4675" w:type="pct"/>
        <w:tblLook w:val="04A0" w:firstRow="1" w:lastRow="0" w:firstColumn="1" w:lastColumn="0" w:noHBand="0" w:noVBand="1"/>
      </w:tblPr>
      <w:tblGrid>
        <w:gridCol w:w="5387"/>
        <w:gridCol w:w="3052"/>
      </w:tblGrid>
      <w:tr w:rsidR="002B5820" w:rsidTr="002B5820">
        <w:tc>
          <w:tcPr>
            <w:tcW w:w="3192" w:type="pct"/>
            <w:hideMark/>
          </w:tcPr>
          <w:p w:rsidR="002B5820" w:rsidRDefault="002B5820">
            <w:pPr>
              <w:spacing w:before="0" w:after="0" w:line="240" w:lineRule="auto"/>
              <w:ind w:left="-108" w:firstLine="0"/>
              <w:jc w:val="left"/>
              <w:rPr>
                <w:b/>
                <w:bCs/>
                <w:i/>
                <w:iCs/>
                <w:sz w:val="24"/>
                <w:szCs w:val="20"/>
                <w:lang w:val="pt-BR"/>
              </w:rPr>
            </w:pPr>
            <w:r>
              <w:rPr>
                <w:b/>
                <w:bCs/>
                <w:i/>
                <w:iCs/>
                <w:sz w:val="24"/>
                <w:szCs w:val="20"/>
                <w:lang w:val="pt-BR"/>
              </w:rPr>
              <w:t>Nơi nhận:</w:t>
            </w:r>
          </w:p>
          <w:p w:rsidR="002B5820" w:rsidRDefault="002B5820">
            <w:pPr>
              <w:spacing w:before="0" w:after="0" w:line="240" w:lineRule="auto"/>
              <w:ind w:left="-108" w:right="455" w:firstLine="0"/>
              <w:jc w:val="left"/>
              <w:rPr>
                <w:sz w:val="22"/>
                <w:szCs w:val="18"/>
                <w:lang w:val="pt-BR"/>
              </w:rPr>
            </w:pPr>
            <w:r>
              <w:rPr>
                <w:sz w:val="22"/>
                <w:szCs w:val="18"/>
                <w:lang w:val="pt-BR"/>
              </w:rPr>
              <w:t>- Ban Bí thư Trung ương Đảng;</w:t>
            </w:r>
          </w:p>
          <w:p w:rsidR="002B5820" w:rsidRDefault="002B5820">
            <w:pPr>
              <w:spacing w:before="0" w:after="0" w:line="240" w:lineRule="auto"/>
              <w:ind w:left="-108" w:right="455" w:firstLine="0"/>
              <w:jc w:val="left"/>
              <w:rPr>
                <w:sz w:val="22"/>
                <w:szCs w:val="18"/>
                <w:lang w:val="pt-BR"/>
              </w:rPr>
            </w:pPr>
            <w:r>
              <w:rPr>
                <w:sz w:val="22"/>
                <w:szCs w:val="18"/>
                <w:lang w:val="pt-BR"/>
              </w:rPr>
              <w:t>- Ủy ban Thường vụ Quốc hội (để b/c);</w:t>
            </w:r>
          </w:p>
          <w:p w:rsidR="002B5820" w:rsidRDefault="002B5820">
            <w:pPr>
              <w:spacing w:before="0" w:after="0" w:line="240" w:lineRule="auto"/>
              <w:ind w:left="-108" w:right="455" w:firstLine="0"/>
              <w:jc w:val="left"/>
              <w:rPr>
                <w:sz w:val="22"/>
                <w:szCs w:val="18"/>
                <w:lang w:val="pt-BR"/>
              </w:rPr>
            </w:pPr>
            <w:r>
              <w:rPr>
                <w:sz w:val="22"/>
                <w:szCs w:val="18"/>
                <w:lang w:val="pt-BR"/>
              </w:rPr>
              <w:t>- Thủ tướng, các Phó Thủ tướng Chính phủ;</w:t>
            </w:r>
          </w:p>
          <w:p w:rsidR="002B5820" w:rsidRDefault="002B5820">
            <w:pPr>
              <w:spacing w:before="0" w:after="0" w:line="240" w:lineRule="auto"/>
              <w:ind w:left="-108" w:right="455" w:firstLine="0"/>
              <w:jc w:val="left"/>
              <w:rPr>
                <w:sz w:val="22"/>
                <w:szCs w:val="18"/>
                <w:lang w:val="pt-BR"/>
              </w:rPr>
            </w:pPr>
            <w:r>
              <w:rPr>
                <w:sz w:val="22"/>
                <w:szCs w:val="18"/>
                <w:lang w:val="pt-BR"/>
              </w:rPr>
              <w:t xml:space="preserve">- </w:t>
            </w:r>
            <w:r>
              <w:rPr>
                <w:spacing w:val="-8"/>
                <w:sz w:val="22"/>
                <w:szCs w:val="18"/>
                <w:lang w:val="pt-BR"/>
              </w:rPr>
              <w:t>Các bộ, cơ quan ngang bộ, cơ quan thuộc Chính phủ;</w:t>
            </w:r>
          </w:p>
          <w:p w:rsidR="002B5820" w:rsidRDefault="002B5820">
            <w:pPr>
              <w:spacing w:before="0" w:after="0" w:line="240" w:lineRule="auto"/>
              <w:ind w:left="-108" w:right="171" w:firstLine="0"/>
              <w:jc w:val="left"/>
              <w:rPr>
                <w:sz w:val="22"/>
                <w:szCs w:val="18"/>
                <w:lang w:val="pt-BR"/>
              </w:rPr>
            </w:pPr>
            <w:r>
              <w:rPr>
                <w:sz w:val="22"/>
                <w:szCs w:val="18"/>
                <w:lang w:val="pt-BR"/>
              </w:rPr>
              <w:t xml:space="preserve">- </w:t>
            </w:r>
            <w:r>
              <w:rPr>
                <w:spacing w:val="-14"/>
                <w:sz w:val="22"/>
                <w:szCs w:val="18"/>
                <w:lang w:val="pt-BR"/>
              </w:rPr>
              <w:t>HĐND, UBND các tỉnh, thành phố trực thuộc trung ương;</w:t>
            </w:r>
          </w:p>
          <w:p w:rsidR="002B5820" w:rsidRDefault="002B5820">
            <w:pPr>
              <w:spacing w:before="0" w:after="0" w:line="240" w:lineRule="auto"/>
              <w:ind w:left="-108" w:right="455" w:firstLine="0"/>
              <w:jc w:val="left"/>
              <w:rPr>
                <w:sz w:val="22"/>
                <w:szCs w:val="18"/>
                <w:lang w:val="pt-BR"/>
              </w:rPr>
            </w:pPr>
            <w:r>
              <w:rPr>
                <w:sz w:val="22"/>
                <w:szCs w:val="18"/>
                <w:lang w:val="pt-BR"/>
              </w:rPr>
              <w:t>- Văn phòng Trung ương và các Ban của Đảng;</w:t>
            </w:r>
          </w:p>
          <w:p w:rsidR="002B5820" w:rsidRDefault="002B5820">
            <w:pPr>
              <w:spacing w:before="0" w:after="0" w:line="240" w:lineRule="auto"/>
              <w:ind w:left="-108" w:right="455" w:firstLine="0"/>
              <w:jc w:val="left"/>
              <w:rPr>
                <w:sz w:val="22"/>
                <w:szCs w:val="18"/>
                <w:lang w:val="pt-BR"/>
              </w:rPr>
            </w:pPr>
            <w:r>
              <w:rPr>
                <w:sz w:val="22"/>
                <w:szCs w:val="18"/>
                <w:lang w:val="pt-BR"/>
              </w:rPr>
              <w:t>- Văn phòng Tổng Bí thư;</w:t>
            </w:r>
          </w:p>
          <w:p w:rsidR="002B5820" w:rsidRDefault="002B5820">
            <w:pPr>
              <w:spacing w:before="0" w:after="0" w:line="240" w:lineRule="auto"/>
              <w:ind w:left="-108" w:right="455" w:firstLine="0"/>
              <w:jc w:val="left"/>
              <w:rPr>
                <w:sz w:val="22"/>
                <w:szCs w:val="18"/>
                <w:lang w:val="pt-BR"/>
              </w:rPr>
            </w:pPr>
            <w:r>
              <w:rPr>
                <w:sz w:val="22"/>
                <w:szCs w:val="18"/>
                <w:lang w:val="pt-BR"/>
              </w:rPr>
              <w:t>- Văn phòng Chủ tịch nước;</w:t>
            </w:r>
          </w:p>
          <w:p w:rsidR="002B5820" w:rsidRDefault="002B5820">
            <w:pPr>
              <w:spacing w:before="0" w:after="0" w:line="240" w:lineRule="auto"/>
              <w:ind w:left="-108" w:right="455" w:firstLine="0"/>
              <w:jc w:val="left"/>
              <w:rPr>
                <w:sz w:val="22"/>
                <w:szCs w:val="18"/>
                <w:lang w:val="pt-BR"/>
              </w:rPr>
            </w:pPr>
            <w:r>
              <w:rPr>
                <w:sz w:val="22"/>
                <w:szCs w:val="18"/>
                <w:lang w:val="pt-BR"/>
              </w:rPr>
              <w:t>- Hội đồng Dân tộc và các Ủy ban của Quốc hội;</w:t>
            </w:r>
          </w:p>
          <w:p w:rsidR="002B5820" w:rsidRDefault="002B5820">
            <w:pPr>
              <w:spacing w:before="0" w:after="0" w:line="240" w:lineRule="auto"/>
              <w:ind w:left="-108" w:right="455" w:firstLine="0"/>
              <w:jc w:val="left"/>
              <w:rPr>
                <w:sz w:val="22"/>
                <w:szCs w:val="18"/>
                <w:lang w:val="pt-BR"/>
              </w:rPr>
            </w:pPr>
            <w:r>
              <w:rPr>
                <w:sz w:val="22"/>
                <w:szCs w:val="18"/>
                <w:lang w:val="pt-BR"/>
              </w:rPr>
              <w:t>- Văn phòng Quốc hội;</w:t>
            </w:r>
          </w:p>
          <w:p w:rsidR="002B5820" w:rsidRDefault="002B5820">
            <w:pPr>
              <w:spacing w:before="0" w:after="0" w:line="240" w:lineRule="auto"/>
              <w:ind w:left="-108" w:right="455" w:firstLine="0"/>
              <w:jc w:val="left"/>
              <w:rPr>
                <w:sz w:val="22"/>
                <w:szCs w:val="18"/>
                <w:lang w:val="pt-BR"/>
              </w:rPr>
            </w:pPr>
            <w:r>
              <w:rPr>
                <w:sz w:val="22"/>
                <w:szCs w:val="18"/>
                <w:lang w:val="pt-BR"/>
              </w:rPr>
              <w:t>- Tòa án nhân dân tối cao;</w:t>
            </w:r>
          </w:p>
          <w:p w:rsidR="002B5820" w:rsidRDefault="002B5820">
            <w:pPr>
              <w:spacing w:before="0" w:after="0" w:line="240" w:lineRule="auto"/>
              <w:ind w:left="-108" w:right="455" w:firstLine="0"/>
              <w:jc w:val="left"/>
              <w:rPr>
                <w:sz w:val="22"/>
                <w:szCs w:val="18"/>
                <w:lang w:val="pt-BR"/>
              </w:rPr>
            </w:pPr>
            <w:r>
              <w:rPr>
                <w:sz w:val="22"/>
                <w:szCs w:val="18"/>
                <w:lang w:val="pt-BR"/>
              </w:rPr>
              <w:t>- Viện kiểm sát nhân dân tối cao;</w:t>
            </w:r>
          </w:p>
          <w:p w:rsidR="002B5820" w:rsidRDefault="002B5820">
            <w:pPr>
              <w:spacing w:before="0" w:after="0" w:line="240" w:lineRule="auto"/>
              <w:ind w:left="-108" w:right="455" w:firstLine="0"/>
              <w:jc w:val="left"/>
              <w:rPr>
                <w:sz w:val="22"/>
                <w:szCs w:val="18"/>
                <w:lang w:val="pt-BR"/>
              </w:rPr>
            </w:pPr>
            <w:r>
              <w:rPr>
                <w:sz w:val="22"/>
                <w:szCs w:val="18"/>
                <w:lang w:val="pt-BR"/>
              </w:rPr>
              <w:t>- Kiểm toán nhà nước;</w:t>
            </w:r>
          </w:p>
          <w:p w:rsidR="002B5820" w:rsidRDefault="002B5820">
            <w:pPr>
              <w:spacing w:before="0" w:after="0" w:line="240" w:lineRule="auto"/>
              <w:ind w:left="-108" w:right="455" w:firstLine="0"/>
              <w:jc w:val="left"/>
              <w:rPr>
                <w:sz w:val="22"/>
                <w:szCs w:val="18"/>
                <w:lang w:val="pt-BR"/>
              </w:rPr>
            </w:pPr>
            <w:r>
              <w:rPr>
                <w:sz w:val="22"/>
                <w:szCs w:val="18"/>
                <w:lang w:val="pt-BR"/>
              </w:rPr>
              <w:t xml:space="preserve">- </w:t>
            </w:r>
            <w:r>
              <w:rPr>
                <w:spacing w:val="-6"/>
                <w:sz w:val="22"/>
                <w:szCs w:val="18"/>
                <w:lang w:val="pt-BR"/>
              </w:rPr>
              <w:t>Ủy ban Trung ương Mặt trận Tổ quốc Việt Nam;</w:t>
            </w:r>
          </w:p>
          <w:p w:rsidR="002B5820" w:rsidRDefault="002B5820">
            <w:pPr>
              <w:spacing w:before="0" w:after="0" w:line="240" w:lineRule="auto"/>
              <w:ind w:left="-108" w:right="455" w:firstLine="0"/>
              <w:jc w:val="left"/>
              <w:rPr>
                <w:sz w:val="22"/>
                <w:szCs w:val="18"/>
                <w:lang w:val="pt-BR"/>
              </w:rPr>
            </w:pPr>
            <w:r>
              <w:rPr>
                <w:sz w:val="22"/>
                <w:szCs w:val="18"/>
                <w:lang w:val="pt-BR"/>
              </w:rPr>
              <w:t>- Cơ quan trung ương của các đoàn thể;</w:t>
            </w:r>
          </w:p>
          <w:p w:rsidR="002B5820" w:rsidRDefault="002B5820">
            <w:pPr>
              <w:spacing w:before="0" w:after="0" w:line="240" w:lineRule="auto"/>
              <w:ind w:left="-108" w:right="27" w:firstLine="0"/>
              <w:jc w:val="left"/>
              <w:rPr>
                <w:sz w:val="22"/>
                <w:szCs w:val="18"/>
                <w:lang w:val="pt-BR"/>
              </w:rPr>
            </w:pPr>
            <w:r>
              <w:rPr>
                <w:sz w:val="22"/>
                <w:szCs w:val="18"/>
                <w:lang w:val="pt-BR"/>
              </w:rPr>
              <w:t xml:space="preserve">- </w:t>
            </w:r>
            <w:r>
              <w:rPr>
                <w:spacing w:val="-10"/>
                <w:sz w:val="22"/>
                <w:szCs w:val="18"/>
                <w:lang w:val="pt-BR"/>
              </w:rPr>
              <w:t>VPCP: BTCN, các PCN, Trợ lý TTg, TGĐ Cổng TTĐT,</w:t>
            </w:r>
            <w:r>
              <w:rPr>
                <w:sz w:val="22"/>
                <w:szCs w:val="18"/>
                <w:lang w:val="pt-BR"/>
              </w:rPr>
              <w:t xml:space="preserve"> </w:t>
            </w:r>
          </w:p>
          <w:p w:rsidR="002B5820" w:rsidRDefault="002B5820">
            <w:pPr>
              <w:spacing w:before="0" w:after="0" w:line="240" w:lineRule="auto"/>
              <w:ind w:left="-108" w:right="27" w:firstLine="0"/>
              <w:jc w:val="left"/>
              <w:rPr>
                <w:sz w:val="22"/>
                <w:szCs w:val="18"/>
                <w:lang w:val="pt-BR"/>
              </w:rPr>
            </w:pPr>
            <w:r>
              <w:rPr>
                <w:sz w:val="22"/>
                <w:szCs w:val="18"/>
                <w:lang w:val="pt-BR"/>
              </w:rPr>
              <w:t xml:space="preserve">  các Vụ, Cục, đơn vị trực thuộc, Công báo;</w:t>
            </w:r>
          </w:p>
          <w:p w:rsidR="002B5820" w:rsidRDefault="002B5820">
            <w:pPr>
              <w:spacing w:before="0" w:after="0" w:line="240" w:lineRule="auto"/>
              <w:ind w:left="-108" w:right="455" w:firstLine="0"/>
              <w:jc w:val="left"/>
              <w:rPr>
                <w:sz w:val="22"/>
                <w:szCs w:val="18"/>
                <w:lang w:val="vi-VN"/>
              </w:rPr>
            </w:pPr>
            <w:r>
              <w:rPr>
                <w:sz w:val="22"/>
                <w:szCs w:val="18"/>
                <w:lang w:val="vi-VN"/>
              </w:rPr>
              <w:t xml:space="preserve">- Lưu: VT, CN (2). </w:t>
            </w:r>
            <w:r>
              <w:rPr>
                <w:sz w:val="16"/>
                <w:szCs w:val="16"/>
                <w:lang w:val="vi-VN"/>
              </w:rPr>
              <w:t>Tuan</w:t>
            </w:r>
          </w:p>
        </w:tc>
        <w:tc>
          <w:tcPr>
            <w:tcW w:w="1808" w:type="pct"/>
          </w:tcPr>
          <w:p w:rsidR="002B5820" w:rsidRDefault="002B5820">
            <w:pPr>
              <w:spacing w:before="0" w:after="0" w:line="240" w:lineRule="auto"/>
              <w:ind w:left="42" w:firstLine="0"/>
              <w:jc w:val="center"/>
              <w:rPr>
                <w:b/>
                <w:bCs/>
                <w:lang w:val="vi-VN"/>
              </w:rPr>
            </w:pPr>
            <w:r>
              <w:rPr>
                <w:b/>
                <w:bCs/>
                <w:lang w:val="vi-VN"/>
              </w:rPr>
              <w:t>TM. CHÍNH PHỦ</w:t>
            </w:r>
          </w:p>
          <w:p w:rsidR="002B5820" w:rsidRDefault="002B5820">
            <w:pPr>
              <w:spacing w:before="0" w:after="0" w:line="240" w:lineRule="auto"/>
              <w:ind w:left="42" w:firstLine="0"/>
              <w:jc w:val="center"/>
              <w:rPr>
                <w:b/>
                <w:bCs/>
                <w:lang w:val="vi-VN"/>
              </w:rPr>
            </w:pPr>
            <w:r>
              <w:rPr>
                <w:b/>
                <w:bCs/>
                <w:lang w:val="vi-VN"/>
              </w:rPr>
              <w:t>KT. THỦ TƯỚNG</w:t>
            </w:r>
          </w:p>
          <w:p w:rsidR="002B5820" w:rsidRDefault="002B5820">
            <w:pPr>
              <w:spacing w:before="0" w:after="0" w:line="240" w:lineRule="auto"/>
              <w:ind w:left="42" w:firstLine="0"/>
              <w:jc w:val="center"/>
              <w:rPr>
                <w:b/>
                <w:bCs/>
                <w:lang w:val="vi-VN"/>
              </w:rPr>
            </w:pPr>
            <w:r>
              <w:rPr>
                <w:b/>
                <w:bCs/>
                <w:lang w:val="vi-VN"/>
              </w:rPr>
              <w:t>PHÓ THỦ TƯỚNG</w:t>
            </w:r>
          </w:p>
          <w:p w:rsidR="002B5820" w:rsidRDefault="002B5820">
            <w:pPr>
              <w:widowControl w:val="0"/>
              <w:autoSpaceDE w:val="0"/>
              <w:autoSpaceDN w:val="0"/>
              <w:adjustRightInd w:val="0"/>
              <w:spacing w:before="0" w:after="0" w:line="240" w:lineRule="auto"/>
              <w:ind w:firstLine="0"/>
              <w:jc w:val="center"/>
              <w:textAlignment w:val="center"/>
              <w:rPr>
                <w:b/>
                <w:noProof w:val="0"/>
                <w:sz w:val="18"/>
                <w:szCs w:val="26"/>
                <w:lang w:val="vi-VN" w:eastAsia="en-US"/>
              </w:rPr>
            </w:pPr>
          </w:p>
          <w:p w:rsidR="002B5820" w:rsidRDefault="002B5820">
            <w:pPr>
              <w:widowControl w:val="0"/>
              <w:autoSpaceDE w:val="0"/>
              <w:autoSpaceDN w:val="0"/>
              <w:adjustRightInd w:val="0"/>
              <w:spacing w:before="0" w:after="0" w:line="240" w:lineRule="auto"/>
              <w:ind w:firstLine="0"/>
              <w:jc w:val="center"/>
              <w:textAlignment w:val="center"/>
              <w:rPr>
                <w:b/>
                <w:noProof w:val="0"/>
                <w:sz w:val="18"/>
                <w:szCs w:val="26"/>
                <w:lang w:val="vi-VN" w:eastAsia="en-US"/>
              </w:rPr>
            </w:pPr>
          </w:p>
          <w:p w:rsidR="002B5820" w:rsidRDefault="002B5820">
            <w:pPr>
              <w:widowControl w:val="0"/>
              <w:autoSpaceDE w:val="0"/>
              <w:autoSpaceDN w:val="0"/>
              <w:adjustRightInd w:val="0"/>
              <w:spacing w:before="0" w:after="0" w:line="240" w:lineRule="auto"/>
              <w:ind w:firstLine="0"/>
              <w:jc w:val="center"/>
              <w:textAlignment w:val="center"/>
              <w:rPr>
                <w:b/>
                <w:sz w:val="24"/>
                <w:szCs w:val="26"/>
                <w:lang w:val="vi-VN"/>
              </w:rPr>
            </w:pPr>
          </w:p>
          <w:p w:rsidR="002B5820" w:rsidRDefault="002B5820">
            <w:pPr>
              <w:widowControl w:val="0"/>
              <w:autoSpaceDE w:val="0"/>
              <w:autoSpaceDN w:val="0"/>
              <w:adjustRightInd w:val="0"/>
              <w:spacing w:before="0" w:after="0" w:line="240" w:lineRule="auto"/>
              <w:ind w:firstLine="0"/>
              <w:jc w:val="center"/>
              <w:textAlignment w:val="center"/>
              <w:rPr>
                <w:b/>
                <w:sz w:val="24"/>
                <w:szCs w:val="26"/>
                <w:lang w:val="vi-VN"/>
              </w:rPr>
            </w:pPr>
          </w:p>
          <w:p w:rsidR="002B5820" w:rsidRDefault="002B5820">
            <w:pPr>
              <w:widowControl w:val="0"/>
              <w:autoSpaceDE w:val="0"/>
              <w:autoSpaceDN w:val="0"/>
              <w:adjustRightInd w:val="0"/>
              <w:spacing w:before="0" w:after="0" w:line="240" w:lineRule="auto"/>
              <w:ind w:firstLine="0"/>
              <w:jc w:val="center"/>
              <w:textAlignment w:val="center"/>
              <w:rPr>
                <w:b/>
                <w:sz w:val="24"/>
                <w:szCs w:val="26"/>
                <w:lang w:val="vi-VN"/>
              </w:rPr>
            </w:pPr>
          </w:p>
          <w:p w:rsidR="002B5820" w:rsidRDefault="002B5820">
            <w:pPr>
              <w:widowControl w:val="0"/>
              <w:autoSpaceDE w:val="0"/>
              <w:autoSpaceDN w:val="0"/>
              <w:adjustRightInd w:val="0"/>
              <w:spacing w:before="0" w:after="0" w:line="240" w:lineRule="auto"/>
              <w:ind w:firstLine="0"/>
              <w:jc w:val="center"/>
              <w:textAlignment w:val="center"/>
              <w:rPr>
                <w:b/>
                <w:bCs/>
                <w:sz w:val="18"/>
                <w:szCs w:val="26"/>
                <w:lang w:val="vi-VN"/>
              </w:rPr>
            </w:pPr>
          </w:p>
          <w:p w:rsidR="002B5820" w:rsidRDefault="002B5820">
            <w:pPr>
              <w:widowControl w:val="0"/>
              <w:autoSpaceDE w:val="0"/>
              <w:autoSpaceDN w:val="0"/>
              <w:adjustRightInd w:val="0"/>
              <w:spacing w:before="0" w:after="0" w:line="240" w:lineRule="auto"/>
              <w:ind w:firstLine="0"/>
              <w:jc w:val="center"/>
              <w:textAlignment w:val="center"/>
              <w:rPr>
                <w:b/>
                <w:bCs/>
                <w:sz w:val="18"/>
                <w:szCs w:val="26"/>
                <w:lang w:val="vi-VN"/>
              </w:rPr>
            </w:pPr>
          </w:p>
          <w:p w:rsidR="002B5820" w:rsidRDefault="002B5820">
            <w:pPr>
              <w:spacing w:before="0" w:after="0" w:line="240" w:lineRule="auto"/>
              <w:ind w:left="42" w:firstLine="0"/>
              <w:jc w:val="center"/>
              <w:rPr>
                <w:b/>
                <w:lang w:val="vi-VN"/>
              </w:rPr>
            </w:pPr>
            <w:r>
              <w:rPr>
                <w:b/>
                <w:lang w:val="vi-VN"/>
              </w:rPr>
              <w:t>Trần Hồng Hà</w:t>
            </w:r>
          </w:p>
        </w:tc>
      </w:tr>
    </w:tbl>
    <w:p w:rsidR="002B5820" w:rsidRDefault="002B5820" w:rsidP="002B5820">
      <w:pPr>
        <w:suppressLineNumbers/>
        <w:suppressAutoHyphens/>
        <w:spacing w:after="0" w:line="240" w:lineRule="auto"/>
        <w:ind w:firstLine="0"/>
        <w:rPr>
          <w:rFonts w:eastAsia="Times New Roman"/>
          <w:iCs/>
          <w:lang w:val="pt-BR" w:eastAsia="en-US"/>
        </w:rPr>
      </w:pP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Times New Roman Ital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20"/>
    <w:rsid w:val="000B5CBB"/>
    <w:rsid w:val="00235881"/>
    <w:rsid w:val="002B5820"/>
    <w:rsid w:val="00743E05"/>
    <w:rsid w:val="00745BF8"/>
    <w:rsid w:val="008509FD"/>
    <w:rsid w:val="00A64023"/>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372F0-C9AD-4926-9E06-FFD7316A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20"/>
    <w:pPr>
      <w:spacing w:before="120" w:after="120" w:line="360" w:lineRule="exact"/>
      <w:ind w:firstLine="567"/>
      <w:jc w:val="both"/>
    </w:pPr>
    <w:rPr>
      <w:rFonts w:ascii="Times New Roman" w:eastAsia="Calibri" w:hAnsi="Times New Roman" w:cs="Times New Roman"/>
      <w:noProof/>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20"/>
    <w:pPr>
      <w:ind w:left="720"/>
    </w:pPr>
  </w:style>
  <w:style w:type="paragraph" w:customStyle="1" w:styleId="2dongcach">
    <w:name w:val="2 dong cach"/>
    <w:basedOn w:val="Normal"/>
    <w:rsid w:val="002B5820"/>
    <w:pPr>
      <w:widowControl w:val="0"/>
      <w:overflowPunct w:val="0"/>
      <w:adjustRightInd w:val="0"/>
      <w:spacing w:before="0" w:line="256" w:lineRule="auto"/>
      <w:ind w:firstLine="720"/>
      <w:jc w:val="center"/>
    </w:pPr>
    <w:rPr>
      <w:rFonts w:eastAsia="Times New Roman"/>
      <w:b/>
      <w:bCs/>
      <w:noProof w:val="0"/>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8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2025-06-27T03:42:00Z</dcterms:created>
  <dcterms:modified xsi:type="dcterms:W3CDTF">2025-06-27T03:43:00Z</dcterms:modified>
</cp:coreProperties>
</file>