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EB" w:rsidRPr="007D0CCB" w:rsidRDefault="002B7BEB" w:rsidP="002B7BEB">
      <w:pPr>
        <w:spacing w:before="120"/>
        <w:jc w:val="right"/>
        <w:rPr>
          <w:rFonts w:ascii="Arial" w:hAnsi="Arial" w:cs="Arial"/>
          <w:sz w:val="20"/>
          <w:szCs w:val="26"/>
        </w:rPr>
      </w:pPr>
      <w:bookmarkStart w:id="0" w:name="chuong_pl_9"/>
      <w:r w:rsidRPr="00D56026">
        <w:rPr>
          <w:rFonts w:ascii="Arial" w:hAnsi="Arial" w:cs="Arial"/>
          <w:b/>
          <w:bCs/>
          <w:sz w:val="20"/>
        </w:rPr>
        <w:t>Mẫu số 03</w:t>
      </w:r>
      <w:bookmarkEnd w:id="0"/>
    </w:p>
    <w:p w:rsidR="002B7BEB" w:rsidRPr="00B87DC0" w:rsidRDefault="002B7BEB" w:rsidP="002B7BEB">
      <w:pPr>
        <w:spacing w:before="120"/>
        <w:jc w:val="center"/>
        <w:rPr>
          <w:rFonts w:ascii="Arial" w:hAnsi="Arial" w:cs="Arial"/>
          <w:b/>
          <w:sz w:val="20"/>
          <w:szCs w:val="26"/>
        </w:rPr>
      </w:pPr>
      <w:r w:rsidRPr="007D0CCB">
        <w:rPr>
          <w:rFonts w:ascii="Arial" w:hAnsi="Arial" w:cs="Arial"/>
          <w:sz w:val="20"/>
          <w:szCs w:val="26"/>
        </w:rPr>
        <w:t xml:space="preserve"> </w:t>
      </w:r>
      <w:bookmarkStart w:id="1" w:name="chuong_pl_9_name"/>
      <w:r w:rsidRPr="00D56026">
        <w:rPr>
          <w:rFonts w:ascii="Arial" w:hAnsi="Arial" w:cs="Arial"/>
          <w:b/>
          <w:bCs/>
          <w:sz w:val="20"/>
        </w:rPr>
        <w:t>BÁO CÁO THẨM ĐỊNH BÁO CÁO NGHIÊN CỨU KHẢ THI, BÁO CÁO KINH TẾ - KỸ THUẬT ĐẦU TƯ XÂY DỰNG DỰ ÁN PPP</w:t>
      </w:r>
      <w:bookmarkEnd w:id="1"/>
    </w:p>
    <w:p w:rsidR="002B7BEB" w:rsidRPr="007D0CCB" w:rsidRDefault="002B7BEB" w:rsidP="002B7BEB">
      <w:pPr>
        <w:spacing w:before="120"/>
        <w:rPr>
          <w:rFonts w:ascii="Arial" w:hAnsi="Arial" w:cs="Arial"/>
          <w:sz w:val="20"/>
          <w:szCs w:val="26"/>
        </w:rPr>
      </w:pPr>
      <w:r w:rsidRPr="007D0CCB">
        <w:rPr>
          <w:rFonts w:ascii="Arial" w:hAnsi="Arial" w:cs="Arial"/>
          <w:sz w:val="20"/>
          <w:szCs w:val="20"/>
        </w:rPr>
        <w:t>Căn cứ tính chất, quy mô, lĩnh vực và nội dung của báo cáo nghiên cứu khả thi (BCNCKT), báo cáo kinh tế kỹ thuật đầu tư xây dựng (BCKTKT), báo cáo thẩm định BCNCKT, BCKTKT được thực hiện theo các nội dung hướng dẫn dưới đây. Đối với BCNCKT, BCKTKT do nhà đầu tư lập, cần xem xét các yếu tố khác mà nhà đầu tư thuyết minh. Đơn vị thẩm định dự án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lập BCNCKT, BCKTKT. Trường hợp áp dụng Mẫu này để thẩm định các nội dung điều chỉnh BCNCKT, đơn vị thẩm định dự án sắp xếp, lựa chọn các nội dung phù hợp.</w:t>
      </w:r>
    </w:p>
    <w:p w:rsidR="002B7BEB" w:rsidRPr="007D0CCB" w:rsidRDefault="002B7BEB" w:rsidP="002B7BEB">
      <w:pPr>
        <w:spacing w:before="120"/>
        <w:rPr>
          <w:rFonts w:ascii="Arial" w:hAnsi="Arial" w:cs="Arial"/>
          <w:sz w:val="20"/>
          <w:szCs w:val="26"/>
        </w:rPr>
      </w:pPr>
      <w:r w:rsidRPr="007D0CCB">
        <w:rPr>
          <w:rFonts w:ascii="Arial" w:hAnsi="Arial" w:cs="Arial"/>
          <w:b/>
          <w:bCs/>
          <w:sz w:val="20"/>
        </w:rPr>
        <w:t>A. KHÁI QUÁT VỀ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Trình bày thông tin khái quát về dự án, bao gồm:</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 Tên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2. Tên cơ quan có thẩm quyền; cơ quan ký kết hợp đồng.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3. Tên đơn vị chuẩn bị dự án hoặc nhà đầu tư lập báo cáo nghiên cứu khả thi, báo cáo kinh tế - kỹ thuật đầu tư xây dựng.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4. Địa điểm, quy mô, công suất dự án, diện tích sử dụng đất.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5. Yêu cầu về kỹ thuật (không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6. Tổng mức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7. Vốn nhà nước trong dự án PPP (nếu có).</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8. Loại hợp đồng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9. Các chỉ tiêu chính thuộc phương án tài chính.</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10.</w:t>
      </w:r>
      <w:r>
        <w:rPr>
          <w:rFonts w:ascii="Arial" w:hAnsi="Arial" w:cs="Arial"/>
          <w:sz w:val="20"/>
          <w:szCs w:val="20"/>
        </w:rPr>
        <w:t xml:space="preserve"> </w:t>
      </w:r>
      <w:r w:rsidRPr="007D0CCB">
        <w:rPr>
          <w:rFonts w:ascii="Arial" w:hAnsi="Arial" w:cs="Arial"/>
          <w:sz w:val="20"/>
          <w:szCs w:val="20"/>
        </w:rPr>
        <w:t>Thời hạn hợp đồng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11. Ưu đãi và bảo đảm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12. Tên bên mời thầu, hình thức lựa chọn nhà đầu tư và thời gian tổ chức lựa chọn nhà đầu tư</w:t>
      </w:r>
    </w:p>
    <w:p w:rsidR="002B7BEB" w:rsidRPr="007D0CCB" w:rsidRDefault="002B7BEB" w:rsidP="002B7BEB">
      <w:pPr>
        <w:spacing w:before="120"/>
        <w:rPr>
          <w:rFonts w:ascii="Arial" w:hAnsi="Arial" w:cs="Arial"/>
          <w:sz w:val="20"/>
          <w:szCs w:val="26"/>
        </w:rPr>
      </w:pPr>
      <w:r>
        <w:rPr>
          <w:rFonts w:ascii="Arial" w:hAnsi="Arial" w:cs="Arial"/>
          <w:b/>
          <w:bCs/>
          <w:sz w:val="20"/>
        </w:rPr>
        <w:t>B. TỔNG HỢP Ý KIẾN CỦA CÁC THÀNH VIÊN HỘI ĐỒNG THẨM ĐỊNH/CƠ QUAN, ĐƠN VỊ CÓ LIÊN QUAN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Đơn vị thẩm định dự án tổng hợp ý kiến các cơ quan, đơn vị có liên quan tại Mục này.</w:t>
      </w:r>
    </w:p>
    <w:p w:rsidR="002B7BEB" w:rsidRPr="007D0CCB" w:rsidRDefault="002B7BEB" w:rsidP="002B7BEB">
      <w:pPr>
        <w:spacing w:before="120"/>
        <w:rPr>
          <w:rFonts w:ascii="Arial" w:hAnsi="Arial" w:cs="Arial"/>
          <w:sz w:val="20"/>
          <w:szCs w:val="26"/>
        </w:rPr>
      </w:pPr>
      <w:r w:rsidRPr="007D0CCB">
        <w:rPr>
          <w:rFonts w:ascii="Arial" w:hAnsi="Arial" w:cs="Arial"/>
          <w:b/>
          <w:bCs/>
          <w:sz w:val="20"/>
        </w:rPr>
        <w:t>C. TỔNG HỢP KẾT QUẢ THẨM ĐỊNH</w:t>
      </w:r>
    </w:p>
    <w:p w:rsidR="002B7BEB" w:rsidRPr="007D0CCB" w:rsidRDefault="002B7BEB" w:rsidP="002B7BEB">
      <w:pPr>
        <w:spacing w:before="120"/>
        <w:rPr>
          <w:rFonts w:ascii="Arial" w:hAnsi="Arial" w:cs="Arial"/>
          <w:sz w:val="20"/>
          <w:szCs w:val="26"/>
        </w:rPr>
      </w:pPr>
      <w:r>
        <w:rPr>
          <w:rFonts w:ascii="Arial" w:hAnsi="Arial" w:cs="Arial"/>
          <w:b/>
          <w:bCs/>
          <w:sz w:val="20"/>
        </w:rPr>
        <w:t>I. KIỂM TRA HỒ SƠ</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Đánh giá về tính đầy đủ về thành phần, nội dung hồ sơ.</w:t>
      </w:r>
    </w:p>
    <w:p w:rsidR="002B7BEB" w:rsidRPr="007D0CCB" w:rsidRDefault="002B7BEB" w:rsidP="002B7BEB">
      <w:pPr>
        <w:spacing w:before="120"/>
        <w:rPr>
          <w:rFonts w:ascii="Arial" w:hAnsi="Arial" w:cs="Arial"/>
          <w:sz w:val="20"/>
          <w:szCs w:val="26"/>
        </w:rPr>
      </w:pPr>
      <w:r w:rsidRPr="007D0CCB">
        <w:rPr>
          <w:rFonts w:ascii="Arial" w:hAnsi="Arial" w:cs="Arial"/>
          <w:b/>
          <w:bCs/>
          <w:sz w:val="20"/>
        </w:rPr>
        <w:t>II. THẨM ĐỊNH VỀ NỘI DUNG CỦA HỒ SƠ</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 Sự phù hợp với căn cứ pháp lý (trường hợp có nội dung thay đổi so với báo cáo nghiên cứu tiền khả thi, báo cáo đề xuất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Đánh giá sự phù hợp của BCNCKT, BCKTKT với các văn bản pháp lý có liên quan.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2. Sự cần thiết đầu tư dự án (trường hợp có nội dung thay đổi so với báo cáo nghiên cứu tiền khả thi, báo cáo đề xuất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Đánh giá sự phù hợp của BCNCKT, BCKTKT đối với một số nội dung sau:</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lastRenderedPageBreak/>
        <w:t>- Quy hoạch, kế hoạch phát triển ngành, vùng, kế hoạch phát triển kinh tế - xã hội của địa phương.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Sự cần thiết đầu tư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Tác động của việc thực hiện dự án đối với cộng đồng, dân cư trong phạm vi dự án (căn cứ kết quả tiếp thu ý kiến về tác động của việc thực hiện dự án của Hội đồng nhân dân, Ủy ban nhân dân, Mặt trận Tổ quốc Việt Nam cấp tỉnh nơi thực hiện dự án, hiệp hội nghề nghiệp liên quan đến lĩnh vực đầu tư (đối với dự án áp dụng cơ chế thu phí trực tiếp từ người sử dụng).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Sự phù hợp của các mục tiêu tổng thể và mục tiêu cụ thể với hiện trạng của ngành, lĩnh vực hoặc địa phương, khả năng giải quyết các vấn đề mà cộng đồng dân cư yêu cầu.</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Lợi thế của việc đầu tư dự án theo phương thức PPP so với các hình thức đầu tư khác.</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Mức độ ảnh hưởng của các dự án có liên quan.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3. Tính khả thi của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a) Thẩm định tính khả thi về mặt kỹ thuật (không áp dụng đối với dự án PPP ứng dụng công nghệ cao theo quy định của pháp luật về công nghệ cao, ứng dụng công nghệ mới theo quy định của pháp luật về chuyển giao công nghệ trong trường hợp dự án do cơ quan có thẩm quyền lập báo cáo nghiên cứu khả thi).</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khả thi của các chỉ số đánh giá chất lượng thực hiện dự án về mặt kỹ thuật.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Trường hợp dự án sử dụng vốn đầu tư công làm vốn hỗ trợ xây dựng công trình, hệ thống cơ sở hạ tầng, xem xét sự phù hợp của thuyết minh về các yêu cầu kỹ thuật dẫn đến phương thức quản lý và sử dụng phần vốn này (tiểu dự án hoặc hạng mục).</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Thiết kế cơ sở: Tổng hợp ý kiến thẩm định của cơ quan chuyên môn về xây dựng theo pháp luật về xây dựng đối với dự án có cấu phần xây dựng hoặc cơ quan chuyên môn theo quy định của pháp luật chuyên ngành đối với dự án không có cấu phần xây dựng.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Các yếu tố đầu vào cung ứng cho dự án: Xem xét sự phù hợp của khả năng cung cấp nguyên liệu đầu vào chủ yếu cho các hoạt động sản xuất, kinh doanh của dự án, căn cứ quy mô, công suất theo phân kỳ đầu tư (nếu có).</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Các yếu tố đầu ra của dự án: Xem xét sự phù hợp của các yếu tố đầu ra với quy mô, công suất, nhu cầu sử dụng công trình, hệ thống cơ sở hạ tầng, sản phẩm, dịch vụ công cung cấp; xem xét tính phù hợp của các chỉ số đánh giá chất lượng thực hiện dự án được trình bày trong BCNCKT.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b) Hiệu quả kinh tế - xã hội của dự án (trường hợp có nội dung thay đổi so với báo cáo nghiên cứu tiền khả thi, báo cáo đề xuất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Đóng góp của dự án cho các nhiệm vụ phát triển kinh tế - xã hội: Xem xét tính hợp lý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ENPV dương (&gt; 0); BCR lớn hơn 1 (&gt; 1); EIRR lớn hơn tỷ suất chiết khấu xã hội (SDR).</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lastRenderedPageBreak/>
        <w:t>- Tác động của dự án đối với quốc phòng, an ninh (nếu có): Trường hợp dự án có liên quan đến các vấn đề quốc phòng, an ninh, xem xét sự phù hợp của các tác động được trình bày trong BCNCKT.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c) Tính khả thi về mặt tài chính</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Đánh giá tính hợp lý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NPV dương (&gt; 0).</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Vốn nhà nước tham gia trong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Xem xét sự phù hợp của giá trị phần vốn, số vốn được bố trí trong kế hoạch đầu tư công trung hạn đối với vốn đầu tư công;</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Sự phù hợp của giá trị và mục đích sử dụng tài sản công được xác định trong quyết định sử dụng tài sản công để tham gia dự án PPP theo quy định của pháp luật về quản lý, sử dụng tài sản công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Xem xét khả năng bảo đảm không dẫn đến các khoản nợ tài chính ngoài dự kiến cho phía Nhà nước.</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Sự phù hợp của các hình thức ưu đãi, bảo đảm đầu tư; nguồn vốn và khả năng cân đối nguồn vốn để xử lý rủi ro từ dự phòng ngân sách trung ương hay địa phương theo quyết định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4. Sự phù hợp của loại hợp đồng dự án (trường hợp có nội dung thay đổi so với báo cáo nghiên cứu tiền khả thi, báo cáo đề xuất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Đánh giá sự phù hợp của loại hợp đồng dự án căn cứ các nội dung sau:</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Nguồn thu và khả năng thu hồi vốn cho nhà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Thời gian hoàn vốn và thời hạn hợp đồng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Tính hợp lý trong việc phân chia trách nhiệm của các bên trong quá trình triển khai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Các rủi ro chính của dự án được xác định đầy đủ và phù hợp trong các kịch bản tài chính.</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Khả năng xảy ra các rủi ro và mức độ ảnh hưởng đối với dự án được xác định cụ thể và phù hợp.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Các biện pháp giảm thiểu rủi ro được xác định phù hợp.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5. Sự phù hợp của các nội dung về lựa chọn nhà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Xem xét sự phù hợp của hình thức lựa chọn nhà đầu tư được đề xuất, bao gồm:</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Đấu thầu rộng rãi trong nước, quốc tế;</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Đàm phán cạnh tranh theo quy định tại Điều 38 của Luật PPP.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Chỉ định nhà đầu tư theo quy định tại khoản 1 Điều 39 của Luật PPP.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 Lựa chọn nhà đầu tư theo trường hợp đặc biệt theo quy định tại khoản 1 Điều 40 của Luật PPP.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6. Sự phù hợp của kế hoạch triển khai dự án, cơ chế giám sát và quản lý dự án (trường hợp có nội dung thay đổi so với báo cáo nghiên cứu tiền khả thi, báo cáo đề xuất chủ trương đầu tư)</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Xem xét và có ý kiến cụ thể về sự phù hợp của kế hoạch tổ chức triển khai dự án (bao gồm cả đánh giá khả năng tổ chức triển khai dự án của cơ quan ký kết hợp đồng và bên mời thầu), cơ chế giám sát và quản lý dự án được trình bày trong BCNCKT, BCKTKT.</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lastRenderedPageBreak/>
        <w:t>7. Tính khả thi của phương án thu xếp vốn của nhà đầu tư (đối với dự án PPP quy định tại khoản 4 Điều 11 của Luật PPP)</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8. Sự phù hợp của nội dung dự thảo hợp đồng (đối với dự án PPP quy định tại khoản 4 Điều 11 của Luật PPP)</w:t>
      </w:r>
    </w:p>
    <w:p w:rsidR="002B7BEB" w:rsidRPr="007D0CCB" w:rsidRDefault="002B7BEB" w:rsidP="002B7BEB">
      <w:pPr>
        <w:spacing w:before="120"/>
        <w:rPr>
          <w:rFonts w:ascii="Arial" w:hAnsi="Arial" w:cs="Arial"/>
          <w:sz w:val="20"/>
          <w:szCs w:val="26"/>
        </w:rPr>
      </w:pPr>
      <w:r w:rsidRPr="007D0CCB">
        <w:rPr>
          <w:rFonts w:ascii="Arial" w:hAnsi="Arial" w:cs="Arial"/>
          <w:b/>
          <w:bCs/>
          <w:sz w:val="20"/>
        </w:rPr>
        <w:t>D. NHẬN XÉT VÀ KIẾN NGHỊ</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Trên cơ sở các phân tích nêu trên, nhận xét tổng quát về BCNCKT, BCKTKT và nêu rõ kiến nghị theo một trong hai trường hợp sau đây:</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1. Trường hợp BCNCKT, BCKTKT phù hợp với quy định của pháp luật và được đánh giá là khả thi để triển khai đầu tư theo phương thức PPP, kiến nghị cấp có thẩm quyền phê duyệt dự án.</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2. Trường hợp không thống nhất với nội dung của BCNCKT, BCKTKT báo cáo cấp có thẩm quyền xem xét, quyết định theo một trong hai phương án sau:</w:t>
      </w:r>
    </w:p>
    <w:p w:rsidR="002B7BEB" w:rsidRPr="007D0CCB" w:rsidRDefault="002B7BEB" w:rsidP="002B7BEB">
      <w:pPr>
        <w:spacing w:before="120"/>
        <w:rPr>
          <w:rFonts w:ascii="Arial" w:hAnsi="Arial" w:cs="Arial"/>
          <w:sz w:val="20"/>
          <w:szCs w:val="26"/>
        </w:rPr>
      </w:pPr>
      <w:r w:rsidRPr="007D0CCB">
        <w:rPr>
          <w:rFonts w:ascii="Arial" w:hAnsi="Arial" w:cs="Arial"/>
          <w:sz w:val="20"/>
          <w:szCs w:val="20"/>
        </w:rPr>
        <w:t>a) Phương án 1: Yêu cầu đơn vị chuẩn bị dự án, nhà đầu tư điều chỉnh BCNCKT, BCKTKT.</w:t>
      </w:r>
    </w:p>
    <w:p w:rsidR="002B7BEB" w:rsidRDefault="002B7BEB" w:rsidP="002B7BEB">
      <w:pPr>
        <w:spacing w:before="120"/>
        <w:rPr>
          <w:rFonts w:ascii="Arial" w:hAnsi="Arial" w:cs="Arial"/>
          <w:sz w:val="20"/>
          <w:szCs w:val="20"/>
        </w:rPr>
      </w:pPr>
      <w:r w:rsidRPr="007D0CCB">
        <w:rPr>
          <w:rFonts w:ascii="Arial" w:hAnsi="Arial" w:cs="Arial"/>
          <w:sz w:val="20"/>
          <w:szCs w:val="20"/>
        </w:rPr>
        <w:t>b) Phương án 2: Không phê duyệt BCNCKT, BCKTKT.</w:t>
      </w:r>
    </w:p>
    <w:p w:rsidR="00C912DE" w:rsidRDefault="00C912DE">
      <w:bookmarkStart w:id="2" w:name="_GoBack"/>
      <w:bookmarkEnd w:id="2"/>
    </w:p>
    <w:sectPr w:rsidR="00C9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B"/>
    <w:rsid w:val="002B7BEB"/>
    <w:rsid w:val="00C9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7E60-300D-4A02-A02D-DA29AA3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E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2025-09-15T00:53:00Z</dcterms:created>
  <dcterms:modified xsi:type="dcterms:W3CDTF">2025-09-15T00:53:00Z</dcterms:modified>
</cp:coreProperties>
</file>