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9A" w:rsidRPr="00A9319A" w:rsidRDefault="00A9319A" w:rsidP="00A9319A">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
      <w:bookmarkStart w:id="1" w:name="_GoBack"/>
      <w:r w:rsidRPr="00A9319A">
        <w:rPr>
          <w:rFonts w:ascii="Times New Roman" w:eastAsia="Times New Roman" w:hAnsi="Times New Roman" w:cs="Times New Roman"/>
          <w:b/>
          <w:bCs/>
          <w:color w:val="000000"/>
          <w:sz w:val="26"/>
          <w:szCs w:val="26"/>
        </w:rPr>
        <w:t>PHỤ LỤC</w:t>
      </w:r>
      <w:bookmarkEnd w:id="0"/>
    </w:p>
    <w:p w:rsidR="00A9319A" w:rsidRPr="00A9319A" w:rsidRDefault="00A9319A" w:rsidP="00A9319A">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name"/>
      <w:r w:rsidRPr="00A9319A">
        <w:rPr>
          <w:rFonts w:ascii="Times New Roman" w:eastAsia="Times New Roman" w:hAnsi="Times New Roman" w:cs="Times New Roman"/>
          <w:color w:val="000000"/>
          <w:sz w:val="26"/>
          <w:szCs w:val="26"/>
        </w:rPr>
        <w:t>BIỂU MỨC THU PHÍ KHAI THÁC VÀ SỬ DỤNG TÀI LIỆU ĐẤT ĐAI TỪ HỆ THỐNG THÔNG TIN QUỐC GIA VỀ ĐẤT ĐAI</w:t>
      </w:r>
      <w:bookmarkEnd w:id="2"/>
      <w:r w:rsidRPr="00A9319A">
        <w:rPr>
          <w:rFonts w:ascii="Times New Roman" w:eastAsia="Times New Roman" w:hAnsi="Times New Roman" w:cs="Times New Roman"/>
          <w:color w:val="000000"/>
          <w:sz w:val="26"/>
          <w:szCs w:val="26"/>
        </w:rPr>
        <w:br/>
      </w:r>
      <w:r w:rsidRPr="00A9319A">
        <w:rPr>
          <w:rFonts w:ascii="Times New Roman" w:eastAsia="Times New Roman" w:hAnsi="Times New Roman" w:cs="Times New Roman"/>
          <w:i/>
          <w:iCs/>
          <w:color w:val="000000"/>
          <w:sz w:val="26"/>
          <w:szCs w:val="26"/>
        </w:rPr>
        <w:t>(Kèm theo Thông tư số 56/2024/TT-BTC ngày 31 tháng</w:t>
      </w:r>
      <w:r w:rsidRPr="00A9319A">
        <w:rPr>
          <w:rFonts w:ascii="Times New Roman" w:eastAsia="Times New Roman" w:hAnsi="Times New Roman" w:cs="Times New Roman"/>
          <w:color w:val="000000"/>
          <w:sz w:val="26"/>
          <w:szCs w:val="26"/>
        </w:rPr>
        <w:t> 7 </w:t>
      </w:r>
      <w:r w:rsidRPr="00A9319A">
        <w:rPr>
          <w:rFonts w:ascii="Times New Roman" w:eastAsia="Times New Roman" w:hAnsi="Times New Roman" w:cs="Times New Roman"/>
          <w:i/>
          <w:iCs/>
          <w:color w:val="000000"/>
          <w:sz w:val="26"/>
          <w:szCs w:val="26"/>
        </w:rPr>
        <w:t>năm 2024 của Bộ trưởng Bộ Tài chính)</w:t>
      </w:r>
    </w:p>
    <w:tbl>
      <w:tblPr>
        <w:tblW w:w="5000" w:type="pct"/>
        <w:jc w:val="center"/>
        <w:tblCellSpacing w:w="0" w:type="dxa"/>
        <w:tblCellMar>
          <w:left w:w="0" w:type="dxa"/>
          <w:right w:w="0" w:type="dxa"/>
        </w:tblCellMar>
        <w:tblLook w:val="04A0" w:firstRow="1" w:lastRow="0" w:firstColumn="1" w:lastColumn="0" w:noHBand="0" w:noVBand="1"/>
      </w:tblPr>
      <w:tblGrid>
        <w:gridCol w:w="407"/>
        <w:gridCol w:w="3813"/>
        <w:gridCol w:w="1642"/>
        <w:gridCol w:w="1174"/>
        <w:gridCol w:w="2304"/>
      </w:tblGrid>
      <w:tr w:rsidR="00A9319A" w:rsidRPr="00A9319A" w:rsidTr="00A9319A">
        <w:trPr>
          <w:trHeight w:val="20"/>
          <w:tblCellSpacing w:w="0" w:type="dxa"/>
          <w:jc w:val="center"/>
        </w:trPr>
        <w:tc>
          <w:tcPr>
            <w:tcW w:w="2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Số 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Loại tài liệu</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Đơn vị tính</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Mức thu </w:t>
            </w:r>
            <w:r w:rsidRPr="00A9319A">
              <w:rPr>
                <w:rFonts w:ascii="Times New Roman" w:eastAsia="Times New Roman" w:hAnsi="Times New Roman" w:cs="Times New Roman"/>
                <w:sz w:val="26"/>
                <w:szCs w:val="26"/>
              </w:rPr>
              <w:t>(đồng)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Ghi chú</w:t>
            </w: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Cơ sở dữ liệu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Thông tin thửa đất (đầy đủ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Thông tin thửa đất không bao gồm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35.000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Lịch sử biến động của thửa đất (theo hồ sơ đăng ký biến động)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Bản đồ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tỷ lệ 1:200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150.000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Mức thu tính cho mảnh bản đồ dạng số Vector. Trường hợp mảnh bản đồ dạng ảnh Raster (geoPDF, PDF, geoTIFF, TIFF, EPS, ECW, JPG) thì mức thu tính bằng 50% mức thu mảnh bản đồ Vector cùng tỷ lệ</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Trường hợp mảnh trích đo địa chính thì mức thu tính bằng mức thu mảnh bản đồ dạng số Vector cùng tỷ lệ</w:t>
            </w: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tỷ lệ 1:500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tỷ lệ 1:1.000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250.000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tỷ lệ 1:2.000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tỷ lệ 1:5.000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750.000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tỷ lệ 1:10.000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1.000.000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không gian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lastRenderedPageBreak/>
              <w:t>5.1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chiết xuất từ bản đồ tỷ lệ 1:200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30.000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chiết xuất từ bản đồ tỷ lệ 1:500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chiết xuất từ bản đồ tỷ lệ 1:1.000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chiết xuất từ bản đồ tỷ lệ 1:2.000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chiết xuất từ bản đồ tỷ lệ 1:5.000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chiết xuất từ bản đồ tỷ lệ 1:10.000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không gian đất đai nền</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7</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Bản sao, trích sao Giấy chứng nhận quyền sử dụng đất, quyền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Giấy chứng nhận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32.800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Giao dịch đảm bảo</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9</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Hồ sơ đăng ký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Trang tài liệu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II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Cơ sở dữ liệu thống kê, kiểm kê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hiện trạng sử dụng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xml:space="preserve">Mức thu tính cho mảnh bản đồ dạng số Vector. Trường hợp mảnh bản đồ dạng ảnh Raster (geoPDF, PDF, geoTIFF, TIFF, EPS, ECW, JPG) thì mức thu tính bằng </w:t>
            </w:r>
            <w:r w:rsidRPr="00A9319A">
              <w:rPr>
                <w:rFonts w:ascii="Times New Roman" w:eastAsia="Times New Roman" w:hAnsi="Times New Roman" w:cs="Times New Roman"/>
                <w:sz w:val="26"/>
                <w:szCs w:val="26"/>
              </w:rPr>
              <w:lastRenderedPageBreak/>
              <w:t>50% mức thu mảnh bản đồ Vector cùng tỷ lệ</w:t>
            </w: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1.000.000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2.000.000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4.000.000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lastRenderedPageBreak/>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Bản đồ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hiện trạng sử dụng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không gian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Bộ tài liệu hoặc bộ số liệu về kết quả thống kê, kiểm kê đất đai, kiểm kê đất đai chuyên đề</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III</w:t>
            </w:r>
          </w:p>
        </w:tc>
        <w:tc>
          <w:tcPr>
            <w:tcW w:w="4750" w:type="pct"/>
            <w:gridSpan w:val="4"/>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Cơ sở dữ liệu quy hoạch, kế hoạch sử dụng đất</w:t>
            </w:r>
          </w:p>
        </w:tc>
      </w:tr>
      <w:tr w:rsidR="00A9319A" w:rsidRPr="00A9319A" w:rsidTr="00A9319A">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Bản đồ quy hoạch sử dụng đất, bản đồ kế hoạch sử dụng đất kỳ đầu, bản đồ điều chỉnh quy hoạch sử dụng đất, bản đồ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xml:space="preserve">Mức thu tính cho mảnh bản đồ dạng số Vector. Trường hợp mảnh bản đo dạng ảnh Raster (geoPDF, PDF, geoTIFF, TIFF, EPS, ECW, JPG) thì mức thu tính bằng 50% mức thu mảnh </w:t>
            </w:r>
            <w:r w:rsidRPr="00A9319A">
              <w:rPr>
                <w:rFonts w:ascii="Times New Roman" w:eastAsia="Times New Roman" w:hAnsi="Times New Roman" w:cs="Times New Roman"/>
                <w:sz w:val="26"/>
                <w:szCs w:val="26"/>
              </w:rPr>
              <w:lastRenderedPageBreak/>
              <w:t>bản đồ Vector cùng tỷ lệ</w:t>
            </w: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2.000.000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4.000.000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lastRenderedPageBreak/>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Bản đồ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1.000.000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lastRenderedPageBreak/>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không gian quy hoạch sử dụng đất, dữ liệu không gian kế hoạch sử dụng đất kỳ đầu, dữ liệu không gian điều chỉnh quy hoạch sử dụng đất, dữ liệu không gian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Dữ liệu không gian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Bộ tài liệu hoặc bộ số liệu về kết quả lập quy hoạch sử dụng đất; kế hoạch sử dụng đất kỳ đầu; điều chỉnh quy hoạch sử dụng đất; lập kế hoạch sử dụng đất kỳ cuối; phê duyệt kế hoạch sử dụng đất kỳ cuối; điều chỉnh kế hoạch sử dụng đất; lập kế hoạch sử dụng đất hàng năm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IV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Cơ sở dữ liệu giá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Bảng giá đất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giá đất theo bảng giá đất ban hành đến từng thửa đất, lớp thửa đất chuẩn, lớp vùng giá trị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theo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xml:space="preserve">Giá đất (giá cụ thể; giá chuyển nhượng trên thị trường; giá thu thập qua điều tra khảo sát; giá theo bảng </w:t>
            </w:r>
            <w:r w:rsidRPr="00A9319A">
              <w:rPr>
                <w:rFonts w:ascii="Times New Roman" w:eastAsia="Times New Roman" w:hAnsi="Times New Roman" w:cs="Times New Roman"/>
                <w:sz w:val="26"/>
                <w:szCs w:val="26"/>
              </w:rPr>
              <w:lastRenderedPageBreak/>
              <w:t>giá đất; giá theo kết quả trúng đấu giá quyền sử dụng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lastRenderedPageBreak/>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lastRenderedPageBreak/>
              <w:t>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Cơ sở dữ liệu điều tra, đánh giá, bảo vệ, cải tạo, phục hồi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khu vực điều tra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chuyên đề (địa hình, đất, tình hình sử dụng đất, khí hậu, chế độ nước, độ phì nhiêu, hiệu quả kinh tế, hiệu quả xã hội, hiệu quả môi trường)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kết quả đánh giá chất lượng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kết quả đánh giá tiềm năng đất đai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vị trí điểm lấy mẫu đất, nước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nguồn, tác nhân gây ô nhiễm, ranh giới vùng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kết quả phân tích mẫu đất, nước trong đánh giá ô nhiễm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kết quả đánh giá ô nhiễm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bản đồ thoái hóa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Bản đồ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Mức thu tính cho mảnh bản đồ dạng số Vector. Trường hợp mảnh bản đồ dạng ảnh Raster (geoPDF, PDF, geoTIFF,TIFF, EPS, ECW, JPG) thì mức thu tính bằng 50% mức thu mảnh bản đồ Vector cùng tỷ lệ</w:t>
            </w: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4.000.000</w:t>
            </w: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2</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Lớp thông tin dữ liệu điều tra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chuyên đề (địa hình, đất, tình hình sử dụng đất, khí hậu, chế độ nước, độ phì nhiêu, hiệu quả kinh tế, hiệu quả xã hội, hiệu quả môi trường)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lastRenderedPageBreak/>
              <w:t>- Dữ liệu không gian kết quả đánh giá chất lượng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kết quả đánh giá tiềm năng đất đai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vị trí điểm lấy mẫu đất, nước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nguồn, tác nhân gây ô nhiễm, ranh giới vùng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kết quả phân tích mẫu đất, nước trong đánh giá ô nhiễm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kết quả đánh giá ô nhiễm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thoái hóa đất (theo kỳ)</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Dữ liệu không gian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lastRenderedPageBreak/>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Lớp dữ liệu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after="0" w:line="240" w:lineRule="auto"/>
              <w:rPr>
                <w:rFonts w:ascii="Times New Roman" w:eastAsia="Times New Roman" w:hAnsi="Times New Roman" w:cs="Times New Roman"/>
                <w:sz w:val="26"/>
                <w:szCs w:val="26"/>
              </w:rPr>
            </w:pP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lastRenderedPageBreak/>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Thông tin phẫu diện đất (cho 01 phẫu diện gồm: Bản tả phẫu diện địa chính; Bản tả phẫu diện đất phụ; Bản tả phẫu diện đất thăm dò; Phiếu lấy mẫu đất)</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Thông tin mẫu nước (cho 01 mẫu nước) theo Phiếu lấy mẫu nước</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Phiếu điều tra tình hình sử dụng đất và tiềm năng đất nông nghiệp</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Phiếu điều tra tiềm năng đất phi nông nghiệp</w:t>
            </w:r>
          </w:p>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 xml:space="preserve">- Báo cáo kết quả điều tra, đánh giá đất đai cấp tỉnh, vùng kinh tế - xã hội, cả nước: Báo cáo tổng hợp kết quả điều tra, đánh giá về chất lượng đất, tiềm năng đất đai; Báo cáo tổng hợp kết quả điều tra, đánh giá về đánh giá thoái hóa đất, ô nhiễm đất; </w:t>
            </w:r>
            <w:r w:rsidRPr="00A9319A">
              <w:rPr>
                <w:rFonts w:ascii="Times New Roman" w:eastAsia="Times New Roman" w:hAnsi="Times New Roman" w:cs="Times New Roman"/>
                <w:sz w:val="26"/>
                <w:szCs w:val="26"/>
              </w:rPr>
              <w:lastRenderedPageBreak/>
              <w:t>Báo cáo tổng hợp kết quả điều tra, đánh giá về phân hạng đất nông nghiệp; Báo cáo tổng hợp kết quả điều tra, đánh giá về kết quả quan trắc giám sát tài nguyên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lastRenderedPageBreak/>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Mức thu áp dụng cho 05 trang tài liệu đầu tiên. Từ trang thứ 06 trở đi thì mức thu là 900 đồng/trang</w:t>
            </w:r>
          </w:p>
        </w:tc>
      </w:tr>
      <w:tr w:rsidR="00A9319A" w:rsidRPr="00A9319A" w:rsidTr="00A9319A">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lastRenderedPageBreak/>
              <w:t>VI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b/>
                <w:bCs/>
                <w:sz w:val="26"/>
                <w:szCs w:val="26"/>
              </w:rPr>
              <w:t>Cơ sở dữ liệu hồ sơ đất đai tại Trung ương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jc w:val="center"/>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9319A" w:rsidRPr="00A9319A" w:rsidRDefault="00A9319A" w:rsidP="00A9319A">
            <w:pPr>
              <w:spacing w:before="120" w:after="120" w:line="234" w:lineRule="atLeast"/>
              <w:rPr>
                <w:rFonts w:ascii="Times New Roman" w:eastAsia="Times New Roman" w:hAnsi="Times New Roman" w:cs="Times New Roman"/>
                <w:sz w:val="26"/>
                <w:szCs w:val="26"/>
              </w:rPr>
            </w:pPr>
            <w:r w:rsidRPr="00A9319A">
              <w:rPr>
                <w:rFonts w:ascii="Times New Roman" w:eastAsia="Times New Roman" w:hAnsi="Times New Roman" w:cs="Times New Roman"/>
                <w:sz w:val="26"/>
                <w:szCs w:val="26"/>
              </w:rPr>
              <w:t>Mức thu áp dụng cho 05 trang tài liệu đầu tiên. Từ trang thứ 06 trở đi thì mức thu là 900 đồng/trang</w:t>
            </w:r>
          </w:p>
        </w:tc>
      </w:tr>
    </w:tbl>
    <w:p w:rsidR="00A9319A" w:rsidRPr="00A9319A" w:rsidRDefault="00A9319A" w:rsidP="00A9319A">
      <w:pPr>
        <w:shd w:val="clear" w:color="auto" w:fill="FFFFFF"/>
        <w:spacing w:before="120" w:after="120" w:line="234" w:lineRule="atLeast"/>
        <w:rPr>
          <w:rFonts w:ascii="Times New Roman" w:eastAsia="Times New Roman" w:hAnsi="Times New Roman" w:cs="Times New Roman"/>
          <w:color w:val="000000"/>
          <w:sz w:val="26"/>
          <w:szCs w:val="26"/>
        </w:rPr>
      </w:pPr>
      <w:r w:rsidRPr="00A9319A">
        <w:rPr>
          <w:rFonts w:ascii="Times New Roman" w:eastAsia="Times New Roman" w:hAnsi="Times New Roman" w:cs="Times New Roman"/>
          <w:color w:val="000000"/>
          <w:sz w:val="26"/>
          <w:szCs w:val="26"/>
        </w:rPr>
        <w:t>Mức thu phí quy định tại Phụ lục này chưa bao gồm chi phí vật tư (in kết quả, sao chép dữ liệu), chuyển kết quả của cơ quan cung cấp thông tin, dữ liệu đất đai từ Hệ thống thông tin quốc gia về đất đai cho người nộp phí./.</w:t>
      </w:r>
    </w:p>
    <w:bookmarkEnd w:id="1"/>
    <w:p w:rsidR="006504EE" w:rsidRPr="00A9319A" w:rsidRDefault="00A9319A">
      <w:pPr>
        <w:rPr>
          <w:rFonts w:ascii="Times New Roman" w:hAnsi="Times New Roman" w:cs="Times New Roman"/>
          <w:sz w:val="26"/>
          <w:szCs w:val="26"/>
        </w:rPr>
      </w:pPr>
    </w:p>
    <w:sectPr w:rsidR="006504EE" w:rsidRPr="00A931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9A"/>
    <w:rsid w:val="001811E4"/>
    <w:rsid w:val="001E23BE"/>
    <w:rsid w:val="00A9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A78AE-7D92-4AB8-84B6-811F976A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1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2025-07-03T03:17:00Z</dcterms:created>
  <dcterms:modified xsi:type="dcterms:W3CDTF">2025-07-03T03:18:00Z</dcterms:modified>
</cp:coreProperties>
</file>