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631842" w:rsidRPr="00916A82" w14:paraId="4D4AD449" w14:textId="77777777" w:rsidTr="0018760E">
        <w:tc>
          <w:tcPr>
            <w:tcW w:w="1890" w:type="pct"/>
          </w:tcPr>
          <w:p w14:paraId="1D43A9DE" w14:textId="77777777" w:rsidR="00631842" w:rsidRPr="00916A82" w:rsidRDefault="00631842" w:rsidP="0018760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pct"/>
          </w:tcPr>
          <w:p w14:paraId="47D86478" w14:textId="77777777" w:rsidR="00631842" w:rsidRPr="00A476CC" w:rsidRDefault="00631842" w:rsidP="0018760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Mẫu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số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04/QTNĐ</w:t>
            </w:r>
          </w:p>
          <w:p w14:paraId="5393199F" w14:textId="77777777" w:rsidR="00631842" w:rsidRPr="00916A82" w:rsidRDefault="00631842" w:rsidP="0018760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Ban hành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kèm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theo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Thông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tư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số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91/2025/TT-BTC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26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9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2025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của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trưởng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Bộ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Tài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chính)</w:t>
            </w:r>
          </w:p>
        </w:tc>
      </w:tr>
    </w:tbl>
    <w:p w14:paraId="4ABEC119" w14:textId="77777777" w:rsidR="00631842" w:rsidRDefault="00631842" w:rsidP="00631842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38"/>
        <w:gridCol w:w="5822"/>
      </w:tblGrid>
      <w:tr w:rsidR="00631842" w:rsidRPr="00F94EDB" w14:paraId="7B2FAF81" w14:textId="77777777" w:rsidTr="0018760E">
        <w:tc>
          <w:tcPr>
            <w:tcW w:w="1890" w:type="pct"/>
          </w:tcPr>
          <w:p w14:paraId="1302A7FD" w14:textId="77777777" w:rsidR="00631842" w:rsidRPr="00F94EDB" w:rsidRDefault="00631842" w:rsidP="0018760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CƠ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QUAN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XÉT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DUYỆT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67F34875" w14:textId="77777777" w:rsidR="00631842" w:rsidRPr="00F94EDB" w:rsidRDefault="00631842" w:rsidP="0018760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4EDB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F94EDB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631842" w:rsidRPr="00F94EDB" w14:paraId="6C98D3B4" w14:textId="77777777" w:rsidTr="0018760E">
        <w:tc>
          <w:tcPr>
            <w:tcW w:w="1890" w:type="pct"/>
          </w:tcPr>
          <w:p w14:paraId="6F6CE37E" w14:textId="77777777" w:rsidR="00631842" w:rsidRPr="00F94EDB" w:rsidRDefault="00631842" w:rsidP="0018760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76CC">
              <w:rPr>
                <w:rFonts w:ascii="Arial" w:hAnsi="Arial" w:cs="Arial"/>
                <w:sz w:val="20"/>
                <w:szCs w:val="20"/>
              </w:rPr>
              <w:t>Số: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......../TB-</w:t>
            </w:r>
          </w:p>
        </w:tc>
        <w:tc>
          <w:tcPr>
            <w:tcW w:w="3110" w:type="pct"/>
          </w:tcPr>
          <w:p w14:paraId="3F604DE3" w14:textId="77777777" w:rsidR="00631842" w:rsidRPr="00F94EDB" w:rsidRDefault="00631842" w:rsidP="0018760E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A476CC">
              <w:rPr>
                <w:rFonts w:ascii="Arial" w:hAnsi="Arial" w:cs="Arial"/>
                <w:i/>
                <w:iCs/>
                <w:sz w:val="20"/>
              </w:rPr>
              <w:t>...,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ngày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tháng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năm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...</w:t>
            </w:r>
          </w:p>
        </w:tc>
      </w:tr>
    </w:tbl>
    <w:p w14:paraId="3DFEA337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</w:p>
    <w:p w14:paraId="6CC85483" w14:textId="77777777" w:rsidR="00631842" w:rsidRPr="00A476CC" w:rsidRDefault="00631842" w:rsidP="00631842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THÔNG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BÁO</w:t>
      </w:r>
    </w:p>
    <w:p w14:paraId="5C5F1621" w14:textId="77777777" w:rsidR="00631842" w:rsidRPr="00A476CC" w:rsidRDefault="00631842" w:rsidP="00631842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Xét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duyệt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quyết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toán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vốn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đầu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tư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công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nguồn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ngân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sách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nhà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nước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theo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năm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ngân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sách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...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của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...</w:t>
      </w:r>
    </w:p>
    <w:p w14:paraId="46E0E999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Căn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cứ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Nghị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254/2025/NĐ-CP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dụng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công;</w:t>
      </w:r>
    </w:p>
    <w:p w14:paraId="3D6E64DB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Căn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cứ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91/2025/TT-BTC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2025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trưởng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hệ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thống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mẫu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biểu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dụng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toán;</w:t>
      </w:r>
    </w:p>
    <w:p w14:paraId="4F1FE9F8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Căn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cứ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nguồn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nước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(tên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toán);</w:t>
      </w:r>
    </w:p>
    <w:p w14:paraId="165FA2B7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Sau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nguồn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nước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sau:</w:t>
      </w:r>
    </w:p>
    <w:p w14:paraId="6DF2153A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1.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Nhận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xét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chung:</w:t>
      </w:r>
    </w:p>
    <w:p w14:paraId="7B254E99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Nhận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việc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chấp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thời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gian,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nội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dung,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biểu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mẫu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cáo.</w:t>
      </w:r>
    </w:p>
    <w:p w14:paraId="61453F96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2.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Về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nội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dung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cụ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thể:</w:t>
      </w:r>
    </w:p>
    <w:p w14:paraId="38A54F02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phù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hợp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nguồn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cấu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ngành,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lĩnh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từng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chương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trình,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nhiệm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vụ,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đúng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danh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mục,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từng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nhiệm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vụ,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(bao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gồm: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giao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trước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cấp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thẩm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quyền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phép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kéo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thời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sang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thuộc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nhưng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còn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ứng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chưa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hồi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từ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những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trước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chuyển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sang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toán).</w:t>
      </w:r>
    </w:p>
    <w:p w14:paraId="38D4E0AF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duyệt,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hoạch,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tiết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khối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lượng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hoàn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tạm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ứng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với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đã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từng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nhiệm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vụ,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dự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giữa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với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báo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nhận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của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thanh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toán;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phép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kéo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dài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thời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thực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hiện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sang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sau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hoặc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hủy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bỏ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có).</w:t>
      </w:r>
    </w:p>
    <w:p w14:paraId="59BC750F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Yêu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nộp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ngay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khoản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phải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nộp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nước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và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xuất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khoản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sai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không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đúng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hoạch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giao,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theo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thẩm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quyền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hoặc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đề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nghị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cơ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quan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thẩm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quyền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xử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lý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đối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với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chủ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đầu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tư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sai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độ.</w:t>
      </w:r>
    </w:p>
    <w:p w14:paraId="2DE3B856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định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số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vốn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được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quyết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toán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trong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năm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ngân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sách.</w:t>
      </w:r>
    </w:p>
    <w:p w14:paraId="142386B3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Tình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hình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chấp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hành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chế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độ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chính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sách,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nội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dung,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nhận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xét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khác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(nếu</w:t>
      </w:r>
      <w:r>
        <w:rPr>
          <w:rFonts w:ascii="Arial" w:hAnsi="Arial" w:cs="Arial"/>
          <w:sz w:val="20"/>
          <w:szCs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có).</w:t>
      </w:r>
    </w:p>
    <w:p w14:paraId="31F33122" w14:textId="77777777" w:rsidR="00631842" w:rsidRPr="00A476CC" w:rsidRDefault="00631842" w:rsidP="00631842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i/>
          <w:iCs/>
          <w:sz w:val="20"/>
        </w:rPr>
        <w:t>(Số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liệu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chi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tiết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theo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biểu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đính</w:t>
      </w:r>
      <w:r>
        <w:rPr>
          <w:rFonts w:ascii="Arial" w:hAnsi="Arial" w:cs="Arial"/>
          <w:i/>
          <w:iCs/>
          <w:sz w:val="20"/>
        </w:rPr>
        <w:t xml:space="preserve"> </w:t>
      </w:r>
      <w:r w:rsidRPr="00A476CC">
        <w:rPr>
          <w:rFonts w:ascii="Arial" w:hAnsi="Arial" w:cs="Arial"/>
          <w:i/>
          <w:iCs/>
          <w:sz w:val="20"/>
        </w:rPr>
        <w:t>kèm)</w:t>
      </w:r>
    </w:p>
    <w:p w14:paraId="59B0B05B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 w:rsidRPr="00A476CC">
        <w:rPr>
          <w:rFonts w:ascii="Arial" w:hAnsi="Arial" w:cs="Arial"/>
          <w:b/>
          <w:bCs/>
          <w:sz w:val="20"/>
        </w:rPr>
        <w:t>3.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Kiến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b/>
          <w:bCs/>
          <w:sz w:val="20"/>
        </w:rPr>
        <w:t>nghị:</w:t>
      </w:r>
      <w:r>
        <w:rPr>
          <w:rFonts w:ascii="Arial" w:hAnsi="Arial" w:cs="Arial"/>
          <w:b/>
          <w:bCs/>
          <w:sz w:val="20"/>
        </w:rPr>
        <w:t xml:space="preserve"> </w:t>
      </w:r>
      <w:r w:rsidRPr="00A476CC">
        <w:rPr>
          <w:rFonts w:ascii="Arial" w:hAnsi="Arial" w:cs="Arial"/>
          <w:sz w:val="20"/>
          <w:szCs w:val="20"/>
        </w:rPr>
        <w:t>...</w:t>
      </w:r>
    </w:p>
    <w:p w14:paraId="6A6A6614" w14:textId="77777777" w:rsidR="00631842" w:rsidRPr="00A476CC" w:rsidRDefault="00631842" w:rsidP="00631842">
      <w:pPr>
        <w:spacing w:before="120"/>
        <w:rPr>
          <w:rFonts w:ascii="Arial" w:hAnsi="Arial" w:cs="Arial"/>
          <w:sz w:val="20"/>
          <w:szCs w:val="26"/>
        </w:rPr>
      </w:pPr>
      <w:r>
        <w:rPr>
          <w:rFonts w:ascii="Arial" w:hAnsi="Arial" w:cs="Arial"/>
          <w:sz w:val="20"/>
          <w:szCs w:val="2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4968"/>
      </w:tblGrid>
      <w:tr w:rsidR="00631842" w:rsidRPr="00A476CC" w14:paraId="6CC689A3" w14:textId="77777777" w:rsidTr="0018760E">
        <w:trPr>
          <w:trHeight w:val="225"/>
        </w:trPr>
        <w:tc>
          <w:tcPr>
            <w:tcW w:w="23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F100" w14:textId="77777777" w:rsidR="00631842" w:rsidRPr="00A476CC" w:rsidRDefault="00631842" w:rsidP="0018760E">
            <w:pPr>
              <w:spacing w:before="120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Nơi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i/>
                <w:iCs/>
                <w:sz w:val="20"/>
              </w:rPr>
              <w:t>nhận: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quan....;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Các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đơn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liên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quan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(nếu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có);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Lưu: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76CC">
              <w:rPr>
                <w:rFonts w:ascii="Arial" w:hAnsi="Arial" w:cs="Arial"/>
                <w:sz w:val="20"/>
                <w:szCs w:val="20"/>
              </w:rPr>
              <w:t>VT.</w:t>
            </w:r>
          </w:p>
        </w:tc>
        <w:tc>
          <w:tcPr>
            <w:tcW w:w="265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376A" w14:textId="77777777" w:rsidR="00631842" w:rsidRPr="00A476CC" w:rsidRDefault="00631842" w:rsidP="0018760E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476CC">
              <w:rPr>
                <w:rFonts w:ascii="Arial" w:hAnsi="Arial" w:cs="Arial"/>
                <w:b/>
                <w:bCs/>
                <w:sz w:val="20"/>
              </w:rPr>
              <w:t>THỦ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TRƯỞNG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ĐƠN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b/>
                <w:bCs/>
                <w:sz w:val="20"/>
              </w:rPr>
              <w:t>VỊ</w:t>
            </w:r>
            <w:r>
              <w:rPr>
                <w:rFonts w:ascii="Arial" w:hAnsi="Arial" w:cs="Arial"/>
                <w:sz w:val="20"/>
              </w:rPr>
              <w:br/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(Ký,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ghi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rõ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họ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tên,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chức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vụ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và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đóng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Pr="00A476CC">
              <w:rPr>
                <w:rFonts w:ascii="Arial" w:hAnsi="Arial" w:cs="Arial"/>
                <w:i/>
                <w:iCs/>
                <w:sz w:val="20"/>
              </w:rPr>
              <w:t>dấu)</w:t>
            </w:r>
          </w:p>
        </w:tc>
      </w:tr>
    </w:tbl>
    <w:p w14:paraId="72434B99" w14:textId="77777777" w:rsidR="0069192A" w:rsidRPr="00631842" w:rsidRDefault="0069192A" w:rsidP="00631842"/>
    <w:sectPr w:rsidR="0069192A" w:rsidRPr="00631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6B"/>
    <w:rsid w:val="00554388"/>
    <w:rsid w:val="00631842"/>
    <w:rsid w:val="0069192A"/>
    <w:rsid w:val="00792765"/>
    <w:rsid w:val="00AB686B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2AFA"/>
  <w15:chartTrackingRefBased/>
  <w15:docId w15:val="{8DFAF6F6-379D-4965-8C94-13AE486E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AB6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2</cp:revision>
  <dcterms:created xsi:type="dcterms:W3CDTF">2025-11-04T10:40:00Z</dcterms:created>
  <dcterms:modified xsi:type="dcterms:W3CDTF">2025-11-04T10:40:00Z</dcterms:modified>
</cp:coreProperties>
</file>