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5816"/>
      </w:tblGrid>
      <w:tr w:rsidR="00221BAD" w:rsidRPr="00916A82" w14:paraId="6382B4EE" w14:textId="77777777" w:rsidTr="008407C6">
        <w:tc>
          <w:tcPr>
            <w:tcW w:w="1893" w:type="pct"/>
          </w:tcPr>
          <w:p w14:paraId="3334AD79" w14:textId="77777777" w:rsidR="00221BAD" w:rsidRPr="00916A82" w:rsidRDefault="00221BAD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pct"/>
          </w:tcPr>
          <w:p w14:paraId="06EFCB49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04/QTDA</w:t>
            </w:r>
          </w:p>
          <w:p w14:paraId="38565835" w14:textId="77777777" w:rsidR="00221BAD" w:rsidRPr="00916A82" w:rsidRDefault="00221BAD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2863F9D6" w14:textId="77777777" w:rsidR="00221BAD" w:rsidRPr="006B4A25" w:rsidRDefault="00221BAD" w:rsidP="00221BAD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221BAD" w:rsidRPr="00F94EDB" w14:paraId="44D53C8D" w14:textId="77777777" w:rsidTr="008407C6">
        <w:tc>
          <w:tcPr>
            <w:tcW w:w="1890" w:type="pct"/>
          </w:tcPr>
          <w:p w14:paraId="1E744562" w14:textId="77777777" w:rsidR="00221BAD" w:rsidRPr="00F94EDB" w:rsidRDefault="00221BAD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6D9694BE" w14:textId="77777777" w:rsidR="00221BAD" w:rsidRPr="00F94EDB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4380CD0E" w14:textId="77777777" w:rsidR="00221BAD" w:rsidRPr="00A476CC" w:rsidRDefault="00221BAD" w:rsidP="00221BAD">
      <w:pPr>
        <w:spacing w:before="12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 </w:t>
      </w:r>
    </w:p>
    <w:p w14:paraId="3F477823" w14:textId="77777777" w:rsidR="00221BAD" w:rsidRPr="00A476CC" w:rsidRDefault="00221BAD" w:rsidP="00221BAD">
      <w:pPr>
        <w:spacing w:before="120"/>
        <w:jc w:val="center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b/>
          <w:bCs/>
          <w:sz w:val="20"/>
        </w:rPr>
        <w:t>CHI TIẾT CHI PHÍ ĐẦU TƯ ĐỀ NGHỊ QUYẾT TOÁN</w:t>
      </w:r>
    </w:p>
    <w:p w14:paraId="33D8BFB1" w14:textId="77777777" w:rsidR="00221BAD" w:rsidRPr="00A476CC" w:rsidRDefault="00221BAD" w:rsidP="00221BAD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448"/>
        <w:gridCol w:w="2062"/>
        <w:gridCol w:w="2324"/>
        <w:gridCol w:w="1596"/>
        <w:gridCol w:w="1482"/>
      </w:tblGrid>
      <w:tr w:rsidR="00221BAD" w:rsidRPr="00A476CC" w14:paraId="3890ED86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EAF23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19049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phí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8E755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F852B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47B91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54550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Nguyên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nhân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tăng,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giảm</w:t>
            </w:r>
          </w:p>
        </w:tc>
      </w:tr>
      <w:tr w:rsidR="00221BAD" w:rsidRPr="00A476CC" w14:paraId="257B2597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4F0E4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A320C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EBA53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EABF7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7E3D8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CA964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21BAD" w:rsidRPr="00A476CC" w14:paraId="33BCFDF8" w14:textId="77777777" w:rsidTr="008407C6">
        <w:trPr>
          <w:trHeight w:val="15"/>
          <w:jc w:val="center"/>
        </w:trPr>
        <w:tc>
          <w:tcPr>
            <w:tcW w:w="1011" w:type="pct"/>
            <w:gridSpan w:val="2"/>
            <w:vAlign w:val="center"/>
          </w:tcPr>
          <w:p w14:paraId="005DD78B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2A02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5C10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BADE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BF1E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4D1DECEE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7EA02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9438A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Bồi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thường,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hỗ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trợ,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tái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định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cư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0E5D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F3C3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68151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BF11F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30AA3188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748EC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52CC5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373C2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CAC6C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F880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168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715A1D4D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AF062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4A3C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CB2A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0D44A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CE00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BD293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7D4A37CB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31340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II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656E4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Xây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dựng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3E1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B13A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EE8CF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0492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21D699EE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B502C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F7157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E9C6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429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BB01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01BC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323F385F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C03DF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D55A1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AF69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481D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562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0EDC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4F18BAED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2741F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III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D9A6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Thiết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bị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7D1F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1D2F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76397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4562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24104E05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803DF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93975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273A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3D83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B0216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D7BD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1AF69F6C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DFEC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42CDC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E2BD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C5F61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3C33C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5BB13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56B9115D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ABB5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IV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DFE72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Quản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lý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71E07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7CF6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981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6EB9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2DF0592F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C1366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0F822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vấn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C2684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E5A96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61505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12335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068F1C84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A2B00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0916A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7776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DB4B1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9BC5A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B7833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5A37C8F5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59B37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06DB6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CC11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A5FD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BE01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0F805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38EC7F0E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5437C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VI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AB5C7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phí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khác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C62F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C949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1597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F116D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6BC8D8DF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30AAF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CA2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1B15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DD2D0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D5EFD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D943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639BAE45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4D4D5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59F8E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702EB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7E6C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D78B2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C3008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1BAD" w:rsidRPr="00A476CC" w14:paraId="472CB831" w14:textId="77777777" w:rsidTr="008407C6">
        <w:trPr>
          <w:trHeight w:val="15"/>
          <w:jc w:val="center"/>
        </w:trPr>
        <w:tc>
          <w:tcPr>
            <w:tcW w:w="23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98792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VII</w:t>
            </w:r>
          </w:p>
        </w:tc>
        <w:tc>
          <w:tcPr>
            <w:tcW w:w="7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2EB91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phòng</w:t>
            </w:r>
          </w:p>
        </w:tc>
        <w:tc>
          <w:tcPr>
            <w:tcW w:w="110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3F95D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4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21689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776FC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C8D13" w14:textId="77777777" w:rsidR="00221BAD" w:rsidRPr="00A476CC" w:rsidRDefault="00221BAD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9A302AD" w14:textId="77777777" w:rsidR="00221BAD" w:rsidRPr="00A476CC" w:rsidRDefault="00221BAD" w:rsidP="00221BAD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21BAD" w:rsidRPr="00A476CC" w14:paraId="255768F3" w14:textId="77777777" w:rsidTr="008407C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5648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BIỂU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BACF" w14:textId="77777777" w:rsidR="00221BAD" w:rsidRPr="00A476CC" w:rsidRDefault="00221BAD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 w:rsidRPr="00A476CC">
              <w:rPr>
                <w:rFonts w:ascii="Arial" w:hAnsi="Arial" w:cs="Arial"/>
                <w:i/>
                <w:iCs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2561EC46" w14:textId="77777777" w:rsidR="00221BAD" w:rsidRPr="00A476CC" w:rsidRDefault="00221BAD" w:rsidP="00221BAD">
      <w:pPr>
        <w:spacing w:before="120"/>
        <w:rPr>
          <w:rFonts w:ascii="Arial" w:hAnsi="Arial" w:cs="Arial"/>
          <w:sz w:val="20"/>
          <w:szCs w:val="26"/>
        </w:rPr>
      </w:pPr>
    </w:p>
    <w:p w14:paraId="7768541C" w14:textId="38B20389" w:rsidR="0069192A" w:rsidRPr="00221BAD" w:rsidRDefault="00221BAD" w:rsidP="00221BAD">
      <w:r w:rsidRPr="00A476CC">
        <w:rPr>
          <w:rFonts w:ascii="Arial" w:hAnsi="Arial" w:cs="Arial"/>
          <w:b/>
          <w:bCs/>
          <w:i/>
          <w:iCs/>
          <w:sz w:val="20"/>
        </w:rPr>
        <w:t>Ghi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chú: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Tại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cột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6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chủ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đầu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tư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căn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cứ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các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định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pháp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luật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về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đầu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tư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công,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xây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đấu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thầu,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thanh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tra,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kiểm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toán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và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các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định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khác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pháp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luật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liên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quan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đến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thực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hiện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rõ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nguyên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nhân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tăng,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giảm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cột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5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với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cột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3,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4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(chủ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đầu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tư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trực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tiếp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vào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mẫu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biểu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hoặc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lập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thành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Phụ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lục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riêng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nội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dung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này).</w:t>
      </w:r>
    </w:p>
    <w:sectPr w:rsidR="0069192A" w:rsidRPr="0022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B"/>
    <w:rsid w:val="00221BAD"/>
    <w:rsid w:val="00554388"/>
    <w:rsid w:val="0069192A"/>
    <w:rsid w:val="00792765"/>
    <w:rsid w:val="009A0E2B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2024"/>
  <w15:chartTrackingRefBased/>
  <w15:docId w15:val="{266A3C8F-4A43-475A-B3BE-8579315A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9A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2025-11-01T10:16:00Z</dcterms:created>
  <dcterms:modified xsi:type="dcterms:W3CDTF">2025-11-01T10:16:00Z</dcterms:modified>
</cp:coreProperties>
</file>