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88E9" w14:textId="77777777" w:rsidR="00953C8B" w:rsidRPr="00FA6154" w:rsidRDefault="00953C8B" w:rsidP="00953C8B">
      <w:pPr>
        <w:widowControl w:val="0"/>
        <w:autoSpaceDE w:val="0"/>
        <w:autoSpaceDN w:val="0"/>
        <w:adjustRightInd w:val="0"/>
        <w:spacing w:before="120"/>
        <w:jc w:val="center"/>
        <w:rPr>
          <w:rFonts w:ascii="Arial" w:hAnsi="Arial" w:cs="Arial"/>
          <w:b/>
          <w:szCs w:val="30"/>
        </w:rPr>
      </w:pPr>
      <w:r w:rsidRPr="00FA6154">
        <w:rPr>
          <w:rFonts w:ascii="Arial" w:hAnsi="Arial" w:cs="Arial"/>
          <w:b/>
          <w:szCs w:val="30"/>
        </w:rPr>
        <w:t>ĐỊNH MỨC CHI PHÍ QUẢN LÝ DỰ ÁN VÀ TƯ VẤN ĐẦU TƯ XÂY DỰNG</w:t>
      </w:r>
    </w:p>
    <w:p w14:paraId="45150825" w14:textId="77777777" w:rsidR="00953C8B" w:rsidRPr="00FA6154" w:rsidRDefault="00953C8B" w:rsidP="00953C8B">
      <w:pPr>
        <w:widowControl w:val="0"/>
        <w:autoSpaceDE w:val="0"/>
        <w:autoSpaceDN w:val="0"/>
        <w:adjustRightInd w:val="0"/>
        <w:spacing w:before="120"/>
        <w:jc w:val="center"/>
        <w:rPr>
          <w:rFonts w:ascii="Arial" w:hAnsi="Arial" w:cs="Arial"/>
          <w:i/>
          <w:sz w:val="20"/>
          <w:szCs w:val="38"/>
        </w:rPr>
      </w:pPr>
      <w:r w:rsidRPr="00FA6154">
        <w:rPr>
          <w:rFonts w:ascii="Arial" w:hAnsi="Arial" w:cs="Arial"/>
          <w:i/>
          <w:sz w:val="20"/>
          <w:szCs w:val="30"/>
        </w:rPr>
        <w:t>(Phụ lục VIII kèm theo Thông tư số 12/2021/TT-BXD ngày 31 tháng 8 năm 2021 của Bộ Xây dựng)</w:t>
      </w:r>
    </w:p>
    <w:p w14:paraId="52E64171"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w:t>
      </w:r>
    </w:p>
    <w:p w14:paraId="66696942"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 ÁP DỤNG ĐỊNH MỨC CHI PHÍ QUẢN LÝ DỰ ÁN VÀ TƯ VẤN ĐẦU TƯ XÂY DỰNG</w:t>
      </w:r>
    </w:p>
    <w:p w14:paraId="74F807AD"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b/>
          <w:bCs/>
          <w:sz w:val="20"/>
          <w:szCs w:val="20"/>
          <w:lang w:val="vi-VN" w:eastAsia="en-US"/>
        </w:rPr>
        <w:t>1. Thuyết minh chung áp dụng định mức chi phí quản lý dự án và tư vấn đầu tư xây dựng</w:t>
      </w:r>
    </w:p>
    <w:p w14:paraId="6A4B7DF8"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Định mức chi phí quản lý dự án và chi phí tư vấn đầu tư xây dựng ban hành tại Thông tư này là cơ sở để xác định chi phí quản lý dự án và chi phí tư vấn đầu tư xây dựng.</w:t>
      </w:r>
    </w:p>
    <w:p w14:paraId="6D2C7253"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Đối với dự án, công trình, gói thầu có quy mô chi phí nằm trong khoảng quy mô chi phí ban hành tại Thông tư này thì định mức chi phí quản lý dự án và tư vấn đầu tư xây dựng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07"/>
        <w:gridCol w:w="1833"/>
      </w:tblGrid>
      <w:tr w:rsidR="00953C8B" w:rsidRPr="00953C8B" w14:paraId="179F629D" w14:textId="77777777" w:rsidTr="00CF6696">
        <w:trPr>
          <w:tblCellSpacing w:w="0" w:type="dxa"/>
        </w:trPr>
        <w:tc>
          <w:tcPr>
            <w:tcW w:w="3900" w:type="pct"/>
            <w:shd w:val="clear" w:color="auto" w:fill="FFFFFF"/>
            <w:tcMar>
              <w:top w:w="0" w:type="dxa"/>
              <w:left w:w="108" w:type="dxa"/>
              <w:bottom w:w="0" w:type="dxa"/>
              <w:right w:w="108" w:type="dxa"/>
            </w:tcMar>
            <w:vAlign w:val="center"/>
            <w:hideMark/>
          </w:tcPr>
          <w:p w14:paraId="5D2AD52F" w14:textId="77777777" w:rsidR="00953C8B" w:rsidRPr="00953C8B" w:rsidRDefault="00953C8B" w:rsidP="00CF6696">
            <w:pPr>
              <w:spacing w:before="120" w:after="120" w:line="234" w:lineRule="atLeast"/>
              <w:jc w:val="center"/>
              <w:rPr>
                <w:rFonts w:ascii="Arial" w:eastAsia="Times New Roman" w:hAnsi="Arial" w:cs="Arial"/>
                <w:color w:val="000000"/>
                <w:sz w:val="18"/>
                <w:szCs w:val="18"/>
                <w:lang w:eastAsia="en-US"/>
              </w:rPr>
            </w:pPr>
            <w:r w:rsidRPr="00953C8B">
              <w:rPr>
                <w:rFonts w:ascii="Arial" w:eastAsia="Times New Roman" w:hAnsi="Arial" w:cs="Arial"/>
                <w:noProof/>
                <w:sz w:val="20"/>
                <w:szCs w:val="20"/>
                <w:lang w:eastAsia="en-US"/>
              </w:rPr>
              <w:drawing>
                <wp:inline distT="0" distB="0" distL="0" distR="0" wp14:anchorId="70FFE006" wp14:editId="23422FD5">
                  <wp:extent cx="206692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6925" cy="485775"/>
                          </a:xfrm>
                          <a:prstGeom prst="rect">
                            <a:avLst/>
                          </a:prstGeom>
                          <a:noFill/>
                          <a:ln>
                            <a:noFill/>
                          </a:ln>
                        </pic:spPr>
                      </pic:pic>
                    </a:graphicData>
                  </a:graphic>
                </wp:inline>
              </w:drawing>
            </w:r>
          </w:p>
        </w:tc>
        <w:tc>
          <w:tcPr>
            <w:tcW w:w="1050" w:type="pct"/>
            <w:shd w:val="clear" w:color="auto" w:fill="FFFFFF"/>
            <w:tcMar>
              <w:top w:w="0" w:type="dxa"/>
              <w:left w:w="108" w:type="dxa"/>
              <w:bottom w:w="0" w:type="dxa"/>
              <w:right w:w="108" w:type="dxa"/>
            </w:tcMar>
            <w:vAlign w:val="center"/>
            <w:hideMark/>
          </w:tcPr>
          <w:p w14:paraId="4F414FCE" w14:textId="77777777" w:rsidR="00953C8B" w:rsidRPr="00953C8B" w:rsidRDefault="00953C8B" w:rsidP="00CF6696">
            <w:pPr>
              <w:spacing w:before="120" w:after="120" w:line="234" w:lineRule="atLeast"/>
              <w:jc w:val="center"/>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(1)</w:t>
            </w:r>
          </w:p>
        </w:tc>
      </w:tr>
    </w:tbl>
    <w:p w14:paraId="5896CD2B"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i/>
          <w:iCs/>
          <w:sz w:val="20"/>
          <w:szCs w:val="20"/>
          <w:lang w:val="vi-VN" w:eastAsia="en-US"/>
        </w:rPr>
        <w:t>Trong đó:</w:t>
      </w:r>
    </w:p>
    <w:p w14:paraId="2C49C3F0"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t</w:t>
      </w:r>
      <w:r w:rsidRPr="00953C8B">
        <w:rPr>
          <w:rFonts w:ascii="Arial" w:eastAsia="Times New Roman" w:hAnsi="Arial" w:cs="Arial"/>
          <w:sz w:val="20"/>
          <w:szCs w:val="20"/>
          <w:lang w:val="vi-VN" w:eastAsia="en-US"/>
        </w:rPr>
        <w:t> : Định mức chi phí quản lý dự án, tư vấn đầu tư xây dựng theo quy mô chi phí xây dựng hoặc quy mô chi phí thiết bị hoặc quy mô chi phí xây dựng và chi phí thiết bị cần tính; đơn vị tính: tỷ lệ %;</w:t>
      </w:r>
    </w:p>
    <w:p w14:paraId="24EE9572"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t</w:t>
      </w:r>
      <w:r w:rsidRPr="00953C8B">
        <w:rPr>
          <w:rFonts w:ascii="Arial" w:eastAsia="Times New Roman" w:hAnsi="Arial" w:cs="Arial"/>
          <w:sz w:val="20"/>
          <w:szCs w:val="20"/>
          <w:lang w:val="vi-VN" w:eastAsia="en-US"/>
        </w:rPr>
        <w:t> : Quy mô chi phí xây dựng hoặc quy mô chi phí thiết bị hoặc quy mô chi phí xây dựng và chi phí thiết bị cần tính định mức chi phí quản lý dự án, chi phí tư vấn; đơn vị tính: giá trị;</w:t>
      </w:r>
    </w:p>
    <w:p w14:paraId="6FE80649"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Quy mô chi phí xây dựng hoặc quy mô chi phí thiết bị hoặc quy mô chi phí xây dựng và chi phí thiết bị cận trên quy mô chi phí cần tính định mức; đơn vị tính: giá trị;</w:t>
      </w:r>
    </w:p>
    <w:p w14:paraId="3346107D"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 Quy mô chi phí xây dựng hoặc quy mô chi phí thiết bị hoặc quy mô chi phí xây dựng và chi phí thiết bị cận dưới quy mô chi phí cần tính định mức; đơn vị tính: giá trị;</w:t>
      </w:r>
    </w:p>
    <w:p w14:paraId="21F34987"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 Định mức chi phí quản lý dự án, tư vấn đầu tư xây dựng tương ứng với G</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đơn vị tính: tỷ lệ %;</w:t>
      </w:r>
    </w:p>
    <w:p w14:paraId="0D5889C7"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 Định mức chi phí quản lý dự án, tư vấn đầu tư xây dựng tương ứng với G</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đơn vị tính: tỷ lệ %.</w:t>
      </w:r>
    </w:p>
    <w:p w14:paraId="18AA4095"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w:t>
      </w:r>
      <w:r w:rsidRPr="00953C8B">
        <w:rPr>
          <w:rFonts w:ascii="Arial" w:eastAsia="Times New Roman" w:hAnsi="Arial" w:cs="Arial"/>
          <w:sz w:val="20"/>
          <w:szCs w:val="20"/>
          <w:lang w:eastAsia="en-US"/>
        </w:rPr>
        <w:t>ự</w:t>
      </w:r>
      <w:r w:rsidRPr="00953C8B">
        <w:rPr>
          <w:rFonts w:ascii="Arial" w:eastAsia="Times New Roman" w:hAnsi="Arial" w:cs="Arial"/>
          <w:sz w:val="20"/>
          <w:szCs w:val="20"/>
          <w:lang w:val="vi-VN" w:eastAsia="en-US"/>
        </w:rPr>
        <w:t> toán để xác định chi phí quản lý dự án nhưng phải đảm bảo hiệu quả dự án.</w:t>
      </w:r>
    </w:p>
    <w:p w14:paraId="567C4AD3"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14:paraId="794F716B"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công trình, gói thầu có yêu cầu áp dụng Mô hình thông tin công trình (B</w:t>
      </w:r>
      <w:r w:rsidRPr="00953C8B">
        <w:rPr>
          <w:rFonts w:ascii="Arial" w:eastAsia="Times New Roman" w:hAnsi="Arial" w:cs="Arial"/>
          <w:sz w:val="20"/>
          <w:szCs w:val="20"/>
          <w:lang w:eastAsia="en-US"/>
        </w:rPr>
        <w:t>I</w:t>
      </w:r>
      <w:r w:rsidRPr="00953C8B">
        <w:rPr>
          <w:rFonts w:ascii="Arial" w:eastAsia="Times New Roman" w:hAnsi="Arial" w:cs="Arial"/>
          <w:sz w:val="20"/>
          <w:szCs w:val="20"/>
          <w:lang w:val="vi-VN" w:eastAsia="en-US"/>
        </w:rPr>
        <w:t>M) trong quá trình quản lý dự án, tư vấn đầu tư xây dựng, thi công xây dựng thì chi phí áp dụng BIM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14:paraId="77BEFDDE"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lastRenderedPageBreak/>
        <w:t>+ Chi phí bổ sung áp dụng BIM khi lập báo cáo nghiên cứu khả thi xác định bằng dự toán chi phí nhưng không vượt quá 15% chi phí lập báo cáo nghiên cứu khả thi xác định theo hướng dẫn tại Thông tư này;</w:t>
      </w:r>
    </w:p>
    <w:p w14:paraId="751E3258"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lập báo cáo kinh tế - kỹ thuật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15% chi phí lập báo cáo kinh tế - kỹ thuật xác định theo hướng dẫn tại Thông tư này;</w:t>
      </w:r>
    </w:p>
    <w:p w14:paraId="227E4E2F"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FEED được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15% chi phí thiết kế FEED;</w:t>
      </w:r>
    </w:p>
    <w:p w14:paraId="628A306C"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 20% tổng chi phí thiết kế kỹ thuật và chi phí thiết kế bản vẽ thi công của công trình có yêu cầu thiết kế 3 bước xác định theo hướng dẫn tại Thông tư này;</w:t>
      </w:r>
    </w:p>
    <w:p w14:paraId="6A7086C8"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xây dựng triển khai sau thiết kế cơ sở của công trình có yêu cầu thiết kế 2 bước được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nhưng không vượt quá 20% chi phí thiết kế bản vẽ thi công của công trình có yêu cầu thiết kế 2 bước xác định theo hướng dẫn tại Thông tư này.</w:t>
      </w:r>
    </w:p>
    <w:p w14:paraId="79EFA7E8"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phải điều chỉnh thiết kế, thì chi phí áp dụng BIM điều chỉnh xác định theo dự toán nhưng không vượt quá 20% chi phí thiết k</w:t>
      </w:r>
      <w:r w:rsidRPr="00953C8B">
        <w:rPr>
          <w:rFonts w:ascii="Arial" w:eastAsia="Times New Roman" w:hAnsi="Arial" w:cs="Arial"/>
          <w:sz w:val="20"/>
          <w:szCs w:val="20"/>
          <w:lang w:eastAsia="en-US"/>
        </w:rPr>
        <w:t>ế</w:t>
      </w:r>
      <w:r w:rsidRPr="00953C8B">
        <w:rPr>
          <w:rFonts w:ascii="Arial" w:eastAsia="Times New Roman" w:hAnsi="Arial" w:cs="Arial"/>
          <w:sz w:val="20"/>
          <w:szCs w:val="20"/>
          <w:lang w:val="vi-VN" w:eastAsia="en-US"/>
        </w:rPr>
        <w:t> phần điều chỉnh.</w:t>
      </w:r>
    </w:p>
    <w:p w14:paraId="7A0955C8" w14:textId="77777777" w:rsidR="00953C8B" w:rsidRPr="00953C8B" w:rsidRDefault="00953C8B" w:rsidP="00953C8B">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thí nghiệm chuyên ngành xây dựng xác định như chi phí xây dựng trong dự toán xây dựng công trình. Chi phí khảo sát xây dựng xác định theo hướng dẫn lập dự toán chi phí khảo sát xây dựng tại Thông tư hướng dẫn một số nội dung xác định và quản lý chi phí đầu tư xây dựng do Bộ Xây dựng ban hành.</w:t>
      </w:r>
    </w:p>
    <w:p w14:paraId="532CC614"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2. Kết cấu của tập định mức</w:t>
      </w:r>
    </w:p>
    <w:p w14:paraId="77B7C0CF"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Định mức chi phí quản lý dự án và tư vấn đầu tư xây dựng gồm 02 phần, cụ thể như sau:</w:t>
      </w:r>
    </w:p>
    <w:p w14:paraId="5F6CB358"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 Thuyết minh áp dụng định mức chi phí quản lý dự án và tư vấn đầu tư xây dựng;</w:t>
      </w:r>
    </w:p>
    <w:p w14:paraId="68291168"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II: Định mức chi phí quản lý dự án và tư vấn đầu tư xây dựng gồm:</w:t>
      </w:r>
    </w:p>
    <w:p w14:paraId="0A8DA5D7"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 Định mức chi phí quản lý dự án;</w:t>
      </w:r>
    </w:p>
    <w:p w14:paraId="771FE186"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II: Định mức chi phí tư vấn đầu tư xây dựng.</w:t>
      </w:r>
    </w:p>
    <w:p w14:paraId="1D1BC945"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 Hướng dẫn áp dụng</w:t>
      </w:r>
    </w:p>
    <w:p w14:paraId="4E050BA5"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Ngoài thuyết minh chung áp dụng định mức chi phí quản lý dự án và tư vấn đầu tư xây dựng nêu trên, tại Phần II Định mức chi phí quản lý dự án và tư vấn đầu tư xây dựng còn có thuyết minh và hướng dẫn áp dụng định mức đối với từng công việc quản lý dự án và tư vấn đầu tư xây dựng.</w:t>
      </w:r>
    </w:p>
    <w:p w14:paraId="329C9FE5" w14:textId="77777777" w:rsidR="00953C8B" w:rsidRPr="00FA6154" w:rsidRDefault="00953C8B" w:rsidP="00953C8B">
      <w:pPr>
        <w:widowControl w:val="0"/>
        <w:autoSpaceDE w:val="0"/>
        <w:autoSpaceDN w:val="0"/>
        <w:adjustRightInd w:val="0"/>
        <w:spacing w:before="120"/>
        <w:jc w:val="center"/>
        <w:rPr>
          <w:rFonts w:ascii="Arial" w:hAnsi="Arial" w:cs="Arial"/>
          <w:sz w:val="20"/>
        </w:rPr>
      </w:pPr>
    </w:p>
    <w:p w14:paraId="3DAEDDB2"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II</w:t>
      </w:r>
    </w:p>
    <w:p w14:paraId="787BD6C5"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 VÀ TƯ VẤN ĐẦU TƯ XÂY DỰNG</w:t>
      </w:r>
    </w:p>
    <w:p w14:paraId="41EB2CFE"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w:t>
      </w:r>
    </w:p>
    <w:p w14:paraId="7629D5A0" w14:textId="77777777" w:rsidR="00953C8B" w:rsidRPr="00FA6154" w:rsidRDefault="00953C8B" w:rsidP="00953C8B">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w:t>
      </w:r>
    </w:p>
    <w:p w14:paraId="3DF554A9"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sz w:val="20"/>
          <w:szCs w:val="20"/>
        </w:rPr>
        <w:t>1. Hướng dẫn áp dụng định mức chi phí quản lý dự án</w:t>
      </w:r>
    </w:p>
    <w:p w14:paraId="07BDA2DA"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1.1. Chi phí quản lý dự án trong tổng mức đầu tư xác định theo định mức tỷ lệ phần trăm (%) ban hành tại bảng 1.1 kèm theo Thông tư này) nhân với chi phí xây dựng và chi phí thiết bị (chưa có thuế giá trị gia tăng) trong tổng mức đầu tư của dự án.</w:t>
      </w:r>
    </w:p>
    <w:p w14:paraId="111D354D"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 xml:space="preserve">1.2. Chi phí quản lý dự án trong dự toán xây dựng công trình hoặc tổng dự toán công trình xác định theo định mức tỷ lệ (%) (cùng định mức tỷ lệ % sử dụng để tính chi phí quản lý dự án trong </w:t>
      </w:r>
      <w:r>
        <w:rPr>
          <w:rFonts w:ascii="Arial" w:hAnsi="Arial" w:cs="Arial"/>
          <w:sz w:val="20"/>
          <w:szCs w:val="20"/>
        </w:rPr>
        <w:lastRenderedPageBreak/>
        <w:t>tổng mức đầu tư được duyệt) nhân với chi phí xây dựng và thiết bị (chưa có thuế giá trị gia tăng) trong dự toán xây dựng công trình hoặc tổng dự toán công trình.</w:t>
      </w:r>
    </w:p>
    <w:p w14:paraId="289295FA"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1.3. Chi phí quản lý dự án của các dự án đầu tư xây dựng trên biển; trên đảo; dự án trải dài dọc theo tuyến biên giới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ban hành tại bảng 1.1 kèm theo Thông tư này và điều chỉnh với hệ số k = 1,35. Chi phí quản lý dự án của dự án trải dài theo tuyến trên địa bàn từ hai tỉnh trở lên hoặc dự án gồm các công trình riêng biệt được xây dựng trên địa bàn nhiều tỉnh khác nhau thì xác định theo định mức ban hành tại bảng 1.1 kèm theo Thông tư này và điều chỉnh với hệ số k = 1,1.</w:t>
      </w:r>
    </w:p>
    <w:p w14:paraId="1A906AD8"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1.4. Trường hợp chủ đầu tư sử dụng tư cách pháp nhân của mình và bộ máy chuyên môn trực thuộc có đủ điều kiện, năng lực để trực tiếp quản lý dự án (không thuê tổ chức tư vấn tham gia quản lý d</w:t>
      </w:r>
      <w:r>
        <w:rPr>
          <w:rFonts w:ascii="Arial" w:hAnsi="Arial" w:cs="Arial"/>
          <w:sz w:val="20"/>
          <w:szCs w:val="20"/>
        </w:rPr>
        <w:t>ự</w:t>
      </w:r>
      <w:r>
        <w:rPr>
          <w:rFonts w:ascii="Arial" w:hAnsi="Arial" w:cs="Arial"/>
          <w:sz w:val="20"/>
          <w:szCs w:val="20"/>
          <w:lang w:val="vi-VN"/>
        </w:rPr>
        <w:t> án) theo hình thức chủ đầu tư tổ chức thực hiện quản lý dự án tại Nghị định quy định chi tiết một số nội dung về quản lý dự án đầu tư xây dựng của Chính phủ thì chi phí quản lý d</w:t>
      </w:r>
      <w:r>
        <w:rPr>
          <w:rFonts w:ascii="Arial" w:hAnsi="Arial" w:cs="Arial"/>
          <w:sz w:val="20"/>
          <w:szCs w:val="20"/>
        </w:rPr>
        <w:t>ự</w:t>
      </w:r>
      <w:r>
        <w:rPr>
          <w:rFonts w:ascii="Arial" w:hAnsi="Arial" w:cs="Arial"/>
          <w:sz w:val="20"/>
          <w:szCs w:val="20"/>
          <w:lang w:val="vi-VN"/>
        </w:rPr>
        <w:t> án xác định theo định mức ban hành tại Bảng 1.1 kèm theo Thông tư này và điều chỉnh với hệ s</w:t>
      </w:r>
      <w:r>
        <w:rPr>
          <w:rFonts w:ascii="Arial" w:hAnsi="Arial" w:cs="Arial"/>
          <w:sz w:val="20"/>
          <w:szCs w:val="20"/>
        </w:rPr>
        <w:t>ố</w:t>
      </w:r>
      <w:r>
        <w:rPr>
          <w:rFonts w:ascii="Arial" w:hAnsi="Arial" w:cs="Arial"/>
          <w:sz w:val="20"/>
          <w:szCs w:val="20"/>
          <w:lang w:val="vi-VN"/>
        </w:rPr>
        <w:t> k = 0,8.</w:t>
      </w:r>
    </w:p>
    <w:p w14:paraId="315F9DD6"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1.5. Trường hợp chi phí thiết bị chiếm tỷ trọng ≥ 50% tổng chi phí xây dựng và thiết bị trong tổng mức đầu tư được duyệt thì điều chỉnh định mức chi phí quản lý dự án với hệ số k = 0,8.</w:t>
      </w:r>
    </w:p>
    <w:p w14:paraId="3C36EB84" w14:textId="77777777" w:rsidR="00953C8B" w:rsidRDefault="00953C8B" w:rsidP="00953C8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1.6.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p>
    <w:p w14:paraId="21F5F974" w14:textId="77777777" w:rsidR="00953C8B" w:rsidRPr="00FA6154" w:rsidRDefault="00953C8B" w:rsidP="00953C8B">
      <w:pPr>
        <w:widowControl w:val="0"/>
        <w:autoSpaceDE w:val="0"/>
        <w:autoSpaceDN w:val="0"/>
        <w:adjustRightInd w:val="0"/>
        <w:spacing w:before="120"/>
        <w:jc w:val="center"/>
        <w:rPr>
          <w:rFonts w:ascii="Arial" w:hAnsi="Arial" w:cs="Arial"/>
          <w:sz w:val="20"/>
        </w:rPr>
        <w:sectPr w:rsidR="00953C8B" w:rsidRPr="00FA6154" w:rsidSect="00211A7E">
          <w:pgSz w:w="12240" w:h="15840"/>
          <w:pgMar w:top="1440" w:right="1800" w:bottom="1440" w:left="1800" w:header="0" w:footer="0" w:gutter="0"/>
          <w:pgNumType w:start="1"/>
          <w:cols w:space="720"/>
          <w:noEndnote/>
          <w:docGrid w:linePitch="326"/>
        </w:sectPr>
      </w:pPr>
    </w:p>
    <w:p w14:paraId="746F8A17"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2. Định mức chi phí</w:t>
      </w:r>
    </w:p>
    <w:p w14:paraId="761181F9"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1.1: Định mức chi phí quản lý dự án</w:t>
      </w:r>
    </w:p>
    <w:p w14:paraId="18B423C6" w14:textId="77777777" w:rsidR="00953C8B" w:rsidRPr="00FA6154" w:rsidRDefault="00953C8B" w:rsidP="00953C8B">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432"/>
        <w:gridCol w:w="2031"/>
        <w:gridCol w:w="557"/>
        <w:gridCol w:w="558"/>
        <w:gridCol w:w="558"/>
        <w:gridCol w:w="558"/>
        <w:gridCol w:w="558"/>
        <w:gridCol w:w="558"/>
        <w:gridCol w:w="558"/>
        <w:gridCol w:w="558"/>
        <w:gridCol w:w="558"/>
        <w:gridCol w:w="622"/>
        <w:gridCol w:w="622"/>
        <w:gridCol w:w="622"/>
      </w:tblGrid>
      <w:tr w:rsidR="00953C8B" w:rsidRPr="00FA6154" w14:paraId="43C9D82A" w14:textId="77777777" w:rsidTr="00CF6696">
        <w:tblPrEx>
          <w:tblCellMar>
            <w:top w:w="0" w:type="dxa"/>
            <w:left w:w="0" w:type="dxa"/>
            <w:bottom w:w="0" w:type="dxa"/>
            <w:right w:w="0" w:type="dxa"/>
          </w:tblCellMar>
        </w:tblPrEx>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51CD0F36"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8" w:type="pct"/>
            <w:vMerge w:val="restart"/>
            <w:tcBorders>
              <w:top w:val="single" w:sz="4" w:space="0" w:color="000000"/>
              <w:left w:val="single" w:sz="4" w:space="0" w:color="000000"/>
              <w:bottom w:val="single" w:sz="4" w:space="0" w:color="000000"/>
              <w:right w:val="single" w:sz="4" w:space="0" w:color="000000"/>
            </w:tcBorders>
            <w:vAlign w:val="center"/>
          </w:tcPr>
          <w:p w14:paraId="42CD71D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9" w:type="pct"/>
            <w:gridSpan w:val="12"/>
            <w:tcBorders>
              <w:top w:val="single" w:sz="4" w:space="0" w:color="000000"/>
              <w:left w:val="single" w:sz="4" w:space="0" w:color="000000"/>
              <w:bottom w:val="nil"/>
              <w:right w:val="single" w:sz="4" w:space="0" w:color="000000"/>
            </w:tcBorders>
            <w:vAlign w:val="center"/>
          </w:tcPr>
          <w:p w14:paraId="5E963706"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53C8B" w:rsidRPr="00FA6154" w14:paraId="1F731F8D" w14:textId="77777777" w:rsidTr="00CF6696">
        <w:tblPrEx>
          <w:tblCellMar>
            <w:top w:w="0" w:type="dxa"/>
            <w:left w:w="0" w:type="dxa"/>
            <w:bottom w:w="0" w:type="dxa"/>
            <w:right w:w="0" w:type="dxa"/>
          </w:tblCellMar>
        </w:tblPrEx>
        <w:tc>
          <w:tcPr>
            <w:tcW w:w="233" w:type="pct"/>
            <w:vMerge/>
            <w:tcBorders>
              <w:top w:val="single" w:sz="4" w:space="0" w:color="000000"/>
              <w:left w:val="single" w:sz="4" w:space="0" w:color="000000"/>
              <w:bottom w:val="single" w:sz="4" w:space="0" w:color="000000"/>
              <w:right w:val="single" w:sz="4" w:space="0" w:color="000000"/>
            </w:tcBorders>
            <w:vAlign w:val="center"/>
          </w:tcPr>
          <w:p w14:paraId="3176AE2F" w14:textId="77777777" w:rsidR="00953C8B" w:rsidRPr="00FA6154" w:rsidRDefault="00953C8B" w:rsidP="00CF6696">
            <w:pPr>
              <w:widowControl w:val="0"/>
              <w:autoSpaceDE w:val="0"/>
              <w:autoSpaceDN w:val="0"/>
              <w:adjustRightInd w:val="0"/>
              <w:spacing w:before="120"/>
              <w:jc w:val="center"/>
              <w:rPr>
                <w:rFonts w:ascii="Arial" w:hAnsi="Arial" w:cs="Arial"/>
                <w:sz w:val="20"/>
              </w:rPr>
            </w:pPr>
          </w:p>
        </w:tc>
        <w:tc>
          <w:tcPr>
            <w:tcW w:w="1088" w:type="pct"/>
            <w:vMerge/>
            <w:tcBorders>
              <w:top w:val="single" w:sz="4" w:space="0" w:color="000000"/>
              <w:left w:val="single" w:sz="4" w:space="0" w:color="000000"/>
              <w:bottom w:val="single" w:sz="4" w:space="0" w:color="000000"/>
              <w:right w:val="single" w:sz="4" w:space="0" w:color="000000"/>
            </w:tcBorders>
            <w:vAlign w:val="center"/>
          </w:tcPr>
          <w:p w14:paraId="3104FC45" w14:textId="77777777" w:rsidR="00953C8B" w:rsidRPr="00FA6154" w:rsidRDefault="00953C8B" w:rsidP="00CF6696">
            <w:pPr>
              <w:widowControl w:val="0"/>
              <w:autoSpaceDE w:val="0"/>
              <w:autoSpaceDN w:val="0"/>
              <w:adjustRightInd w:val="0"/>
              <w:spacing w:before="120"/>
              <w:jc w:val="center"/>
              <w:rPr>
                <w:rFonts w:ascii="Arial" w:hAnsi="Arial" w:cs="Arial"/>
                <w:sz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274EA99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300" w:type="pct"/>
            <w:tcBorders>
              <w:top w:val="single" w:sz="4" w:space="0" w:color="000000"/>
              <w:left w:val="single" w:sz="4" w:space="0" w:color="000000"/>
              <w:bottom w:val="single" w:sz="4" w:space="0" w:color="000000"/>
              <w:right w:val="single" w:sz="4" w:space="0" w:color="000000"/>
            </w:tcBorders>
            <w:vAlign w:val="center"/>
          </w:tcPr>
          <w:p w14:paraId="0FCC435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00" w:type="pct"/>
            <w:tcBorders>
              <w:top w:val="single" w:sz="4" w:space="0" w:color="000000"/>
              <w:left w:val="single" w:sz="4" w:space="0" w:color="000000"/>
              <w:bottom w:val="single" w:sz="4" w:space="0" w:color="000000"/>
              <w:right w:val="single" w:sz="4" w:space="0" w:color="000000"/>
            </w:tcBorders>
            <w:vAlign w:val="center"/>
          </w:tcPr>
          <w:p w14:paraId="2A3F6F3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00" w:type="pct"/>
            <w:tcBorders>
              <w:top w:val="single" w:sz="4" w:space="0" w:color="000000"/>
              <w:left w:val="single" w:sz="4" w:space="0" w:color="000000"/>
              <w:bottom w:val="single" w:sz="4" w:space="0" w:color="000000"/>
              <w:right w:val="single" w:sz="4" w:space="0" w:color="000000"/>
            </w:tcBorders>
            <w:vAlign w:val="center"/>
          </w:tcPr>
          <w:p w14:paraId="5E9B57D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00" w:type="pct"/>
            <w:tcBorders>
              <w:top w:val="single" w:sz="4" w:space="0" w:color="000000"/>
              <w:left w:val="single" w:sz="4" w:space="0" w:color="000000"/>
              <w:bottom w:val="single" w:sz="4" w:space="0" w:color="000000"/>
              <w:right w:val="single" w:sz="4" w:space="0" w:color="000000"/>
            </w:tcBorders>
            <w:vAlign w:val="center"/>
          </w:tcPr>
          <w:p w14:paraId="0884D2E8"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00" w:type="pct"/>
            <w:tcBorders>
              <w:top w:val="single" w:sz="4" w:space="0" w:color="000000"/>
              <w:left w:val="single" w:sz="4" w:space="0" w:color="000000"/>
              <w:bottom w:val="single" w:sz="4" w:space="0" w:color="000000"/>
              <w:right w:val="single" w:sz="4" w:space="0" w:color="000000"/>
            </w:tcBorders>
            <w:vAlign w:val="center"/>
          </w:tcPr>
          <w:p w14:paraId="6A9BC9EC"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00" w:type="pct"/>
            <w:tcBorders>
              <w:top w:val="single" w:sz="4" w:space="0" w:color="000000"/>
              <w:left w:val="single" w:sz="4" w:space="0" w:color="000000"/>
              <w:bottom w:val="single" w:sz="4" w:space="0" w:color="000000"/>
              <w:right w:val="single" w:sz="4" w:space="0" w:color="000000"/>
            </w:tcBorders>
            <w:vAlign w:val="center"/>
          </w:tcPr>
          <w:p w14:paraId="759E530D"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00" w:type="pct"/>
            <w:tcBorders>
              <w:top w:val="single" w:sz="4" w:space="0" w:color="000000"/>
              <w:left w:val="single" w:sz="4" w:space="0" w:color="000000"/>
              <w:bottom w:val="single" w:sz="4" w:space="0" w:color="000000"/>
              <w:right w:val="single" w:sz="4" w:space="0" w:color="000000"/>
            </w:tcBorders>
            <w:vAlign w:val="center"/>
          </w:tcPr>
          <w:p w14:paraId="55E4FE47"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00" w:type="pct"/>
            <w:tcBorders>
              <w:top w:val="single" w:sz="4" w:space="0" w:color="000000"/>
              <w:left w:val="single" w:sz="4" w:space="0" w:color="000000"/>
              <w:bottom w:val="single" w:sz="4" w:space="0" w:color="000000"/>
              <w:right w:val="single" w:sz="4" w:space="0" w:color="000000"/>
            </w:tcBorders>
            <w:vAlign w:val="center"/>
          </w:tcPr>
          <w:p w14:paraId="4CFBBAA4"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26" w:type="pct"/>
            <w:tcBorders>
              <w:top w:val="single" w:sz="4" w:space="0" w:color="000000"/>
              <w:left w:val="single" w:sz="4" w:space="0" w:color="000000"/>
              <w:bottom w:val="single" w:sz="4" w:space="0" w:color="000000"/>
              <w:right w:val="single" w:sz="4" w:space="0" w:color="000000"/>
            </w:tcBorders>
            <w:vAlign w:val="center"/>
          </w:tcPr>
          <w:p w14:paraId="7033FF0A"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15CC1E3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52AF0582"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953C8B" w:rsidRPr="00FA6154" w14:paraId="376C0AF1" w14:textId="77777777" w:rsidTr="00CF6696">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14:paraId="1E8E171A"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8" w:type="pct"/>
            <w:tcBorders>
              <w:top w:val="single" w:sz="4" w:space="0" w:color="000000"/>
              <w:left w:val="single" w:sz="4" w:space="0" w:color="000000"/>
              <w:bottom w:val="single" w:sz="4" w:space="0" w:color="000000"/>
              <w:right w:val="single" w:sz="4" w:space="0" w:color="000000"/>
            </w:tcBorders>
            <w:vAlign w:val="center"/>
          </w:tcPr>
          <w:p w14:paraId="4C1900BC" w14:textId="77777777" w:rsidR="00953C8B" w:rsidRPr="00FA6154" w:rsidRDefault="00953C8B" w:rsidP="00CF6696">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0" w:type="pct"/>
            <w:tcBorders>
              <w:top w:val="single" w:sz="4" w:space="0" w:color="000000"/>
              <w:left w:val="single" w:sz="4" w:space="0" w:color="000000"/>
              <w:bottom w:val="single" w:sz="4" w:space="0" w:color="000000"/>
              <w:right w:val="single" w:sz="4" w:space="0" w:color="000000"/>
            </w:tcBorders>
            <w:vAlign w:val="center"/>
          </w:tcPr>
          <w:p w14:paraId="763E004A"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3,446</w:t>
            </w:r>
          </w:p>
        </w:tc>
        <w:tc>
          <w:tcPr>
            <w:tcW w:w="300" w:type="pct"/>
            <w:tcBorders>
              <w:top w:val="single" w:sz="4" w:space="0" w:color="000000"/>
              <w:left w:val="single" w:sz="4" w:space="0" w:color="000000"/>
              <w:bottom w:val="single" w:sz="4" w:space="0" w:color="000000"/>
              <w:right w:val="single" w:sz="4" w:space="0" w:color="000000"/>
            </w:tcBorders>
            <w:vAlign w:val="center"/>
          </w:tcPr>
          <w:p w14:paraId="439E087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2,923</w:t>
            </w:r>
          </w:p>
        </w:tc>
        <w:tc>
          <w:tcPr>
            <w:tcW w:w="300" w:type="pct"/>
            <w:tcBorders>
              <w:top w:val="single" w:sz="4" w:space="0" w:color="000000"/>
              <w:left w:val="single" w:sz="4" w:space="0" w:color="000000"/>
              <w:bottom w:val="single" w:sz="4" w:space="0" w:color="000000"/>
              <w:right w:val="single" w:sz="4" w:space="0" w:color="000000"/>
            </w:tcBorders>
            <w:vAlign w:val="center"/>
          </w:tcPr>
          <w:p w14:paraId="20B7F1E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2,610</w:t>
            </w:r>
          </w:p>
        </w:tc>
        <w:tc>
          <w:tcPr>
            <w:tcW w:w="300" w:type="pct"/>
            <w:tcBorders>
              <w:top w:val="single" w:sz="4" w:space="0" w:color="000000"/>
              <w:left w:val="single" w:sz="4" w:space="0" w:color="000000"/>
              <w:bottom w:val="single" w:sz="4" w:space="0" w:color="000000"/>
              <w:right w:val="single" w:sz="4" w:space="0" w:color="000000"/>
            </w:tcBorders>
            <w:vAlign w:val="center"/>
          </w:tcPr>
          <w:p w14:paraId="4BC74278"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2,017</w:t>
            </w:r>
          </w:p>
        </w:tc>
        <w:tc>
          <w:tcPr>
            <w:tcW w:w="300" w:type="pct"/>
            <w:tcBorders>
              <w:top w:val="single" w:sz="4" w:space="0" w:color="000000"/>
              <w:left w:val="single" w:sz="4" w:space="0" w:color="000000"/>
              <w:bottom w:val="single" w:sz="4" w:space="0" w:color="000000"/>
              <w:right w:val="single" w:sz="4" w:space="0" w:color="000000"/>
            </w:tcBorders>
            <w:vAlign w:val="center"/>
          </w:tcPr>
          <w:p w14:paraId="364DC77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1,886</w:t>
            </w:r>
          </w:p>
        </w:tc>
        <w:tc>
          <w:tcPr>
            <w:tcW w:w="300" w:type="pct"/>
            <w:tcBorders>
              <w:top w:val="single" w:sz="4" w:space="0" w:color="000000"/>
              <w:left w:val="single" w:sz="4" w:space="0" w:color="000000"/>
              <w:bottom w:val="single" w:sz="4" w:space="0" w:color="000000"/>
              <w:right w:val="single" w:sz="4" w:space="0" w:color="000000"/>
            </w:tcBorders>
            <w:vAlign w:val="center"/>
          </w:tcPr>
          <w:p w14:paraId="60EAF4B4"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1,514</w:t>
            </w:r>
          </w:p>
        </w:tc>
        <w:tc>
          <w:tcPr>
            <w:tcW w:w="300" w:type="pct"/>
            <w:tcBorders>
              <w:top w:val="single" w:sz="4" w:space="0" w:color="000000"/>
              <w:left w:val="single" w:sz="4" w:space="0" w:color="000000"/>
              <w:bottom w:val="single" w:sz="4" w:space="0" w:color="000000"/>
              <w:right w:val="single" w:sz="4" w:space="0" w:color="000000"/>
            </w:tcBorders>
            <w:vAlign w:val="center"/>
          </w:tcPr>
          <w:p w14:paraId="30BA859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1,239</w:t>
            </w:r>
          </w:p>
        </w:tc>
        <w:tc>
          <w:tcPr>
            <w:tcW w:w="300" w:type="pct"/>
            <w:tcBorders>
              <w:top w:val="single" w:sz="4" w:space="0" w:color="000000"/>
              <w:left w:val="single" w:sz="4" w:space="0" w:color="000000"/>
              <w:bottom w:val="single" w:sz="4" w:space="0" w:color="000000"/>
              <w:right w:val="single" w:sz="4" w:space="0" w:color="000000"/>
            </w:tcBorders>
            <w:vAlign w:val="center"/>
          </w:tcPr>
          <w:p w14:paraId="7EA4CB4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0,958</w:t>
            </w:r>
          </w:p>
        </w:tc>
        <w:tc>
          <w:tcPr>
            <w:tcW w:w="300" w:type="pct"/>
            <w:tcBorders>
              <w:top w:val="single" w:sz="4" w:space="0" w:color="000000"/>
              <w:left w:val="single" w:sz="4" w:space="0" w:color="000000"/>
              <w:bottom w:val="single" w:sz="4" w:space="0" w:color="000000"/>
              <w:right w:val="single" w:sz="4" w:space="0" w:color="000000"/>
            </w:tcBorders>
            <w:vAlign w:val="center"/>
          </w:tcPr>
          <w:p w14:paraId="1317243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0,711</w:t>
            </w:r>
          </w:p>
        </w:tc>
        <w:tc>
          <w:tcPr>
            <w:tcW w:w="326" w:type="pct"/>
            <w:tcBorders>
              <w:top w:val="single" w:sz="4" w:space="0" w:color="000000"/>
              <w:left w:val="single" w:sz="4" w:space="0" w:color="000000"/>
              <w:bottom w:val="single" w:sz="4" w:space="0" w:color="000000"/>
              <w:right w:val="single" w:sz="4" w:space="0" w:color="000000"/>
            </w:tcBorders>
            <w:vAlign w:val="center"/>
          </w:tcPr>
          <w:p w14:paraId="79D4CEC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0,510</w:t>
            </w:r>
          </w:p>
        </w:tc>
        <w:tc>
          <w:tcPr>
            <w:tcW w:w="327" w:type="pct"/>
            <w:tcBorders>
              <w:top w:val="single" w:sz="4" w:space="0" w:color="000000"/>
              <w:left w:val="single" w:sz="4" w:space="0" w:color="000000"/>
              <w:bottom w:val="single" w:sz="4" w:space="0" w:color="000000"/>
              <w:right w:val="single" w:sz="4" w:space="0" w:color="000000"/>
            </w:tcBorders>
            <w:vAlign w:val="center"/>
          </w:tcPr>
          <w:p w14:paraId="740CC99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0,381</w:t>
            </w:r>
          </w:p>
        </w:tc>
        <w:tc>
          <w:tcPr>
            <w:tcW w:w="327" w:type="pct"/>
            <w:tcBorders>
              <w:top w:val="single" w:sz="4" w:space="0" w:color="000000"/>
              <w:left w:val="single" w:sz="4" w:space="0" w:color="000000"/>
              <w:bottom w:val="single" w:sz="4" w:space="0" w:color="000000"/>
              <w:right w:val="single" w:sz="4" w:space="0" w:color="000000"/>
            </w:tcBorders>
            <w:vAlign w:val="center"/>
          </w:tcPr>
          <w:p w14:paraId="299E428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0,305</w:t>
            </w:r>
          </w:p>
        </w:tc>
      </w:tr>
      <w:tr w:rsidR="00953C8B" w:rsidRPr="00FA6154" w14:paraId="19674C7F" w14:textId="77777777" w:rsidTr="00CF6696">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14:paraId="46EC92B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8" w:type="pct"/>
            <w:tcBorders>
              <w:top w:val="single" w:sz="4" w:space="0" w:color="000000"/>
              <w:left w:val="single" w:sz="4" w:space="0" w:color="000000"/>
              <w:bottom w:val="single" w:sz="4" w:space="0" w:color="000000"/>
              <w:right w:val="single" w:sz="4" w:space="0" w:color="000000"/>
            </w:tcBorders>
            <w:vAlign w:val="center"/>
          </w:tcPr>
          <w:p w14:paraId="7CC58E82" w14:textId="77777777" w:rsidR="00953C8B" w:rsidRPr="00FA6154" w:rsidRDefault="00953C8B" w:rsidP="00CF6696">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0" w:type="pct"/>
            <w:tcBorders>
              <w:top w:val="single" w:sz="4" w:space="0" w:color="000000"/>
              <w:left w:val="single" w:sz="4" w:space="0" w:color="000000"/>
              <w:bottom w:val="single" w:sz="4" w:space="0" w:color="000000"/>
              <w:right w:val="single" w:sz="4" w:space="0" w:color="000000"/>
            </w:tcBorders>
            <w:vAlign w:val="center"/>
          </w:tcPr>
          <w:p w14:paraId="41F9001F"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3,557</w:t>
            </w:r>
          </w:p>
        </w:tc>
        <w:tc>
          <w:tcPr>
            <w:tcW w:w="300" w:type="pct"/>
            <w:tcBorders>
              <w:top w:val="single" w:sz="4" w:space="0" w:color="000000"/>
              <w:left w:val="single" w:sz="4" w:space="0" w:color="000000"/>
              <w:bottom w:val="single" w:sz="4" w:space="0" w:color="000000"/>
              <w:right w:val="single" w:sz="4" w:space="0" w:color="000000"/>
            </w:tcBorders>
            <w:vAlign w:val="center"/>
          </w:tcPr>
          <w:p w14:paraId="0886788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3,018</w:t>
            </w:r>
          </w:p>
        </w:tc>
        <w:tc>
          <w:tcPr>
            <w:tcW w:w="300" w:type="pct"/>
            <w:tcBorders>
              <w:top w:val="single" w:sz="4" w:space="0" w:color="000000"/>
              <w:left w:val="single" w:sz="4" w:space="0" w:color="000000"/>
              <w:bottom w:val="single" w:sz="4" w:space="0" w:color="000000"/>
              <w:right w:val="single" w:sz="4" w:space="0" w:color="000000"/>
            </w:tcBorders>
            <w:vAlign w:val="center"/>
          </w:tcPr>
          <w:p w14:paraId="29C9E580"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2,694</w:t>
            </w:r>
          </w:p>
        </w:tc>
        <w:tc>
          <w:tcPr>
            <w:tcW w:w="300" w:type="pct"/>
            <w:tcBorders>
              <w:top w:val="single" w:sz="4" w:space="0" w:color="000000"/>
              <w:left w:val="single" w:sz="4" w:space="0" w:color="000000"/>
              <w:bottom w:val="single" w:sz="4" w:space="0" w:color="000000"/>
              <w:right w:val="single" w:sz="4" w:space="0" w:color="000000"/>
            </w:tcBorders>
            <w:vAlign w:val="center"/>
          </w:tcPr>
          <w:p w14:paraId="417623E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2,082</w:t>
            </w:r>
          </w:p>
        </w:tc>
        <w:tc>
          <w:tcPr>
            <w:tcW w:w="300" w:type="pct"/>
            <w:tcBorders>
              <w:top w:val="single" w:sz="4" w:space="0" w:color="000000"/>
              <w:left w:val="single" w:sz="4" w:space="0" w:color="000000"/>
              <w:bottom w:val="single" w:sz="4" w:space="0" w:color="000000"/>
              <w:right w:val="single" w:sz="4" w:space="0" w:color="000000"/>
            </w:tcBorders>
            <w:vAlign w:val="center"/>
          </w:tcPr>
          <w:p w14:paraId="6C4C754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1,947</w:t>
            </w:r>
          </w:p>
        </w:tc>
        <w:tc>
          <w:tcPr>
            <w:tcW w:w="300" w:type="pct"/>
            <w:tcBorders>
              <w:top w:val="single" w:sz="4" w:space="0" w:color="000000"/>
              <w:left w:val="single" w:sz="4" w:space="0" w:color="000000"/>
              <w:bottom w:val="single" w:sz="4" w:space="0" w:color="000000"/>
              <w:right w:val="single" w:sz="4" w:space="0" w:color="000000"/>
            </w:tcBorders>
            <w:vAlign w:val="center"/>
          </w:tcPr>
          <w:p w14:paraId="4C3B8074"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1,564</w:t>
            </w:r>
          </w:p>
        </w:tc>
        <w:tc>
          <w:tcPr>
            <w:tcW w:w="300" w:type="pct"/>
            <w:tcBorders>
              <w:top w:val="single" w:sz="4" w:space="0" w:color="000000"/>
              <w:left w:val="single" w:sz="4" w:space="0" w:color="000000"/>
              <w:bottom w:val="single" w:sz="4" w:space="0" w:color="000000"/>
              <w:right w:val="single" w:sz="4" w:space="0" w:color="000000"/>
            </w:tcBorders>
            <w:vAlign w:val="center"/>
          </w:tcPr>
          <w:p w14:paraId="21BBB86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1,279</w:t>
            </w:r>
          </w:p>
        </w:tc>
        <w:tc>
          <w:tcPr>
            <w:tcW w:w="300" w:type="pct"/>
            <w:tcBorders>
              <w:top w:val="single" w:sz="4" w:space="0" w:color="000000"/>
              <w:left w:val="single" w:sz="4" w:space="0" w:color="000000"/>
              <w:bottom w:val="single" w:sz="4" w:space="0" w:color="000000"/>
              <w:right w:val="single" w:sz="4" w:space="0" w:color="000000"/>
            </w:tcBorders>
            <w:vAlign w:val="center"/>
          </w:tcPr>
          <w:p w14:paraId="399D6410"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1,103</w:t>
            </w:r>
          </w:p>
        </w:tc>
        <w:tc>
          <w:tcPr>
            <w:tcW w:w="300" w:type="pct"/>
            <w:tcBorders>
              <w:top w:val="single" w:sz="4" w:space="0" w:color="000000"/>
              <w:left w:val="single" w:sz="4" w:space="0" w:color="000000"/>
              <w:bottom w:val="single" w:sz="4" w:space="0" w:color="000000"/>
              <w:right w:val="single" w:sz="4" w:space="0" w:color="000000"/>
            </w:tcBorders>
            <w:vAlign w:val="center"/>
          </w:tcPr>
          <w:p w14:paraId="66149932"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0,734</w:t>
            </w:r>
          </w:p>
        </w:tc>
        <w:tc>
          <w:tcPr>
            <w:tcW w:w="326" w:type="pct"/>
            <w:tcBorders>
              <w:top w:val="single" w:sz="4" w:space="0" w:color="000000"/>
              <w:left w:val="single" w:sz="4" w:space="0" w:color="000000"/>
              <w:bottom w:val="single" w:sz="4" w:space="0" w:color="000000"/>
              <w:right w:val="single" w:sz="4" w:space="0" w:color="000000"/>
            </w:tcBorders>
            <w:vAlign w:val="center"/>
          </w:tcPr>
          <w:p w14:paraId="3F45F5C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0,527</w:t>
            </w:r>
          </w:p>
        </w:tc>
        <w:tc>
          <w:tcPr>
            <w:tcW w:w="327" w:type="pct"/>
            <w:tcBorders>
              <w:top w:val="single" w:sz="4" w:space="0" w:color="000000"/>
              <w:left w:val="single" w:sz="4" w:space="0" w:color="000000"/>
              <w:bottom w:val="single" w:sz="4" w:space="0" w:color="000000"/>
              <w:right w:val="single" w:sz="4" w:space="0" w:color="000000"/>
            </w:tcBorders>
            <w:vAlign w:val="center"/>
          </w:tcPr>
          <w:p w14:paraId="79F261E7"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0,393</w:t>
            </w:r>
          </w:p>
        </w:tc>
        <w:tc>
          <w:tcPr>
            <w:tcW w:w="327" w:type="pct"/>
            <w:tcBorders>
              <w:top w:val="single" w:sz="4" w:space="0" w:color="000000"/>
              <w:left w:val="single" w:sz="4" w:space="0" w:color="000000"/>
              <w:bottom w:val="single" w:sz="4" w:space="0" w:color="000000"/>
              <w:right w:val="single" w:sz="4" w:space="0" w:color="000000"/>
            </w:tcBorders>
            <w:vAlign w:val="center"/>
          </w:tcPr>
          <w:p w14:paraId="62A2C4DD"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0,314</w:t>
            </w:r>
          </w:p>
        </w:tc>
      </w:tr>
      <w:tr w:rsidR="00953C8B" w:rsidRPr="00FA6154" w14:paraId="14C17A51" w14:textId="77777777" w:rsidTr="00CF6696">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14:paraId="2AEE616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8" w:type="pct"/>
            <w:tcBorders>
              <w:top w:val="single" w:sz="4" w:space="0" w:color="000000"/>
              <w:left w:val="single" w:sz="4" w:space="0" w:color="000000"/>
              <w:bottom w:val="single" w:sz="4" w:space="0" w:color="000000"/>
              <w:right w:val="single" w:sz="4" w:space="0" w:color="000000"/>
            </w:tcBorders>
            <w:vAlign w:val="center"/>
          </w:tcPr>
          <w:p w14:paraId="161C82C5" w14:textId="77777777" w:rsidR="00953C8B" w:rsidRPr="00FA6154" w:rsidRDefault="00953C8B" w:rsidP="00CF6696">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0" w:type="pct"/>
            <w:tcBorders>
              <w:top w:val="single" w:sz="4" w:space="0" w:color="000000"/>
              <w:left w:val="single" w:sz="4" w:space="0" w:color="000000"/>
              <w:bottom w:val="single" w:sz="4" w:space="0" w:color="000000"/>
              <w:right w:val="single" w:sz="4" w:space="0" w:color="000000"/>
            </w:tcBorders>
            <w:vAlign w:val="center"/>
          </w:tcPr>
          <w:p w14:paraId="5ED16FD2"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3,024</w:t>
            </w:r>
          </w:p>
        </w:tc>
        <w:tc>
          <w:tcPr>
            <w:tcW w:w="300" w:type="pct"/>
            <w:tcBorders>
              <w:top w:val="single" w:sz="4" w:space="0" w:color="000000"/>
              <w:left w:val="single" w:sz="4" w:space="0" w:color="000000"/>
              <w:bottom w:val="single" w:sz="4" w:space="0" w:color="000000"/>
              <w:right w:val="single" w:sz="4" w:space="0" w:color="000000"/>
            </w:tcBorders>
            <w:vAlign w:val="center"/>
          </w:tcPr>
          <w:p w14:paraId="23BBA43B"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2,566</w:t>
            </w:r>
          </w:p>
        </w:tc>
        <w:tc>
          <w:tcPr>
            <w:tcW w:w="300" w:type="pct"/>
            <w:tcBorders>
              <w:top w:val="single" w:sz="4" w:space="0" w:color="000000"/>
              <w:left w:val="single" w:sz="4" w:space="0" w:color="000000"/>
              <w:bottom w:val="single" w:sz="4" w:space="0" w:color="000000"/>
              <w:right w:val="single" w:sz="4" w:space="0" w:color="000000"/>
            </w:tcBorders>
            <w:vAlign w:val="center"/>
          </w:tcPr>
          <w:p w14:paraId="70983636"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2,292</w:t>
            </w:r>
          </w:p>
        </w:tc>
        <w:tc>
          <w:tcPr>
            <w:tcW w:w="300" w:type="pct"/>
            <w:tcBorders>
              <w:top w:val="single" w:sz="4" w:space="0" w:color="000000"/>
              <w:left w:val="single" w:sz="4" w:space="0" w:color="000000"/>
              <w:bottom w:val="single" w:sz="4" w:space="0" w:color="000000"/>
              <w:right w:val="single" w:sz="4" w:space="0" w:color="000000"/>
            </w:tcBorders>
            <w:vAlign w:val="center"/>
          </w:tcPr>
          <w:p w14:paraId="1A649A1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1,771</w:t>
            </w:r>
          </w:p>
        </w:tc>
        <w:tc>
          <w:tcPr>
            <w:tcW w:w="300" w:type="pct"/>
            <w:tcBorders>
              <w:top w:val="single" w:sz="4" w:space="0" w:color="000000"/>
              <w:left w:val="single" w:sz="4" w:space="0" w:color="000000"/>
              <w:bottom w:val="single" w:sz="4" w:space="0" w:color="000000"/>
              <w:right w:val="single" w:sz="4" w:space="0" w:color="000000"/>
            </w:tcBorders>
            <w:vAlign w:val="center"/>
          </w:tcPr>
          <w:p w14:paraId="20787AE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1,655</w:t>
            </w:r>
          </w:p>
        </w:tc>
        <w:tc>
          <w:tcPr>
            <w:tcW w:w="300" w:type="pct"/>
            <w:tcBorders>
              <w:top w:val="single" w:sz="4" w:space="0" w:color="000000"/>
              <w:left w:val="single" w:sz="4" w:space="0" w:color="000000"/>
              <w:bottom w:val="single" w:sz="4" w:space="0" w:color="000000"/>
              <w:right w:val="single" w:sz="4" w:space="0" w:color="000000"/>
            </w:tcBorders>
            <w:vAlign w:val="center"/>
          </w:tcPr>
          <w:p w14:paraId="490F2D1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1,329</w:t>
            </w:r>
          </w:p>
        </w:tc>
        <w:tc>
          <w:tcPr>
            <w:tcW w:w="300" w:type="pct"/>
            <w:tcBorders>
              <w:top w:val="single" w:sz="4" w:space="0" w:color="000000"/>
              <w:left w:val="single" w:sz="4" w:space="0" w:color="000000"/>
              <w:bottom w:val="single" w:sz="4" w:space="0" w:color="000000"/>
              <w:right w:val="single" w:sz="4" w:space="0" w:color="000000"/>
            </w:tcBorders>
            <w:vAlign w:val="center"/>
          </w:tcPr>
          <w:p w14:paraId="6641579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1,088</w:t>
            </w:r>
          </w:p>
        </w:tc>
        <w:tc>
          <w:tcPr>
            <w:tcW w:w="300" w:type="pct"/>
            <w:tcBorders>
              <w:top w:val="single" w:sz="4" w:space="0" w:color="000000"/>
              <w:left w:val="single" w:sz="4" w:space="0" w:color="000000"/>
              <w:bottom w:val="single" w:sz="4" w:space="0" w:color="000000"/>
              <w:right w:val="single" w:sz="4" w:space="0" w:color="000000"/>
            </w:tcBorders>
            <w:vAlign w:val="center"/>
          </w:tcPr>
          <w:p w14:paraId="73C946D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0,937</w:t>
            </w:r>
          </w:p>
        </w:tc>
        <w:tc>
          <w:tcPr>
            <w:tcW w:w="300" w:type="pct"/>
            <w:tcBorders>
              <w:top w:val="single" w:sz="4" w:space="0" w:color="000000"/>
              <w:left w:val="single" w:sz="4" w:space="0" w:color="000000"/>
              <w:bottom w:val="single" w:sz="4" w:space="0" w:color="000000"/>
              <w:right w:val="single" w:sz="4" w:space="0" w:color="000000"/>
            </w:tcBorders>
            <w:vAlign w:val="center"/>
          </w:tcPr>
          <w:p w14:paraId="0BAEA468"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0,624</w:t>
            </w:r>
          </w:p>
        </w:tc>
        <w:tc>
          <w:tcPr>
            <w:tcW w:w="326" w:type="pct"/>
            <w:tcBorders>
              <w:top w:val="single" w:sz="4" w:space="0" w:color="000000"/>
              <w:left w:val="single" w:sz="4" w:space="0" w:color="000000"/>
              <w:bottom w:val="single" w:sz="4" w:space="0" w:color="000000"/>
              <w:right w:val="single" w:sz="4" w:space="0" w:color="000000"/>
            </w:tcBorders>
            <w:vAlign w:val="center"/>
          </w:tcPr>
          <w:p w14:paraId="45E5F396"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0,448</w:t>
            </w:r>
          </w:p>
        </w:tc>
        <w:tc>
          <w:tcPr>
            <w:tcW w:w="327" w:type="pct"/>
            <w:tcBorders>
              <w:top w:val="single" w:sz="4" w:space="0" w:color="000000"/>
              <w:left w:val="single" w:sz="4" w:space="0" w:color="000000"/>
              <w:bottom w:val="single" w:sz="4" w:space="0" w:color="000000"/>
              <w:right w:val="single" w:sz="4" w:space="0" w:color="000000"/>
            </w:tcBorders>
            <w:vAlign w:val="center"/>
          </w:tcPr>
          <w:p w14:paraId="21BE981D"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0,335</w:t>
            </w:r>
          </w:p>
        </w:tc>
        <w:tc>
          <w:tcPr>
            <w:tcW w:w="327" w:type="pct"/>
            <w:tcBorders>
              <w:top w:val="single" w:sz="4" w:space="0" w:color="000000"/>
              <w:left w:val="single" w:sz="4" w:space="0" w:color="000000"/>
              <w:bottom w:val="single" w:sz="4" w:space="0" w:color="000000"/>
              <w:right w:val="single" w:sz="4" w:space="0" w:color="000000"/>
            </w:tcBorders>
            <w:vAlign w:val="center"/>
          </w:tcPr>
          <w:p w14:paraId="27DE431D"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0,268</w:t>
            </w:r>
          </w:p>
        </w:tc>
      </w:tr>
      <w:tr w:rsidR="00953C8B" w:rsidRPr="00FA6154" w14:paraId="6B786F3A" w14:textId="77777777" w:rsidTr="00CF6696">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14:paraId="5D7E338A"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8" w:type="pct"/>
            <w:tcBorders>
              <w:top w:val="single" w:sz="4" w:space="0" w:color="000000"/>
              <w:left w:val="single" w:sz="4" w:space="0" w:color="000000"/>
              <w:bottom w:val="single" w:sz="4" w:space="0" w:color="000000"/>
              <w:right w:val="single" w:sz="4" w:space="0" w:color="000000"/>
            </w:tcBorders>
            <w:vAlign w:val="center"/>
          </w:tcPr>
          <w:p w14:paraId="4D8C253A" w14:textId="77777777" w:rsidR="00953C8B" w:rsidRPr="00FA6154" w:rsidRDefault="00953C8B" w:rsidP="00CF6696">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0" w:type="pct"/>
            <w:tcBorders>
              <w:top w:val="single" w:sz="4" w:space="0" w:color="000000"/>
              <w:left w:val="single" w:sz="4" w:space="0" w:color="000000"/>
              <w:bottom w:val="single" w:sz="4" w:space="0" w:color="000000"/>
              <w:right w:val="single" w:sz="4" w:space="0" w:color="000000"/>
            </w:tcBorders>
            <w:vAlign w:val="center"/>
          </w:tcPr>
          <w:p w14:paraId="147CF1B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3,263</w:t>
            </w:r>
          </w:p>
        </w:tc>
        <w:tc>
          <w:tcPr>
            <w:tcW w:w="300" w:type="pct"/>
            <w:tcBorders>
              <w:top w:val="single" w:sz="4" w:space="0" w:color="000000"/>
              <w:left w:val="single" w:sz="4" w:space="0" w:color="000000"/>
              <w:bottom w:val="single" w:sz="4" w:space="0" w:color="000000"/>
              <w:right w:val="single" w:sz="4" w:space="0" w:color="000000"/>
            </w:tcBorders>
            <w:vAlign w:val="center"/>
          </w:tcPr>
          <w:p w14:paraId="1851FCE8"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2,769</w:t>
            </w:r>
          </w:p>
        </w:tc>
        <w:tc>
          <w:tcPr>
            <w:tcW w:w="300" w:type="pct"/>
            <w:tcBorders>
              <w:top w:val="single" w:sz="4" w:space="0" w:color="000000"/>
              <w:left w:val="single" w:sz="4" w:space="0" w:color="000000"/>
              <w:bottom w:val="single" w:sz="4" w:space="0" w:color="000000"/>
              <w:right w:val="single" w:sz="4" w:space="0" w:color="000000"/>
            </w:tcBorders>
            <w:vAlign w:val="center"/>
          </w:tcPr>
          <w:p w14:paraId="1C601AB0"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2,473</w:t>
            </w:r>
          </w:p>
        </w:tc>
        <w:tc>
          <w:tcPr>
            <w:tcW w:w="300" w:type="pct"/>
            <w:tcBorders>
              <w:top w:val="single" w:sz="4" w:space="0" w:color="000000"/>
              <w:left w:val="single" w:sz="4" w:space="0" w:color="000000"/>
              <w:bottom w:val="single" w:sz="4" w:space="0" w:color="000000"/>
              <w:right w:val="single" w:sz="4" w:space="0" w:color="000000"/>
            </w:tcBorders>
            <w:vAlign w:val="center"/>
          </w:tcPr>
          <w:p w14:paraId="2DEC9393"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1,910</w:t>
            </w:r>
          </w:p>
        </w:tc>
        <w:tc>
          <w:tcPr>
            <w:tcW w:w="300" w:type="pct"/>
            <w:tcBorders>
              <w:top w:val="single" w:sz="4" w:space="0" w:color="000000"/>
              <w:left w:val="single" w:sz="4" w:space="0" w:color="000000"/>
              <w:bottom w:val="single" w:sz="4" w:space="0" w:color="000000"/>
              <w:right w:val="single" w:sz="4" w:space="0" w:color="000000"/>
            </w:tcBorders>
            <w:vAlign w:val="center"/>
          </w:tcPr>
          <w:p w14:paraId="67E64CBC"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1,786</w:t>
            </w:r>
          </w:p>
        </w:tc>
        <w:tc>
          <w:tcPr>
            <w:tcW w:w="300" w:type="pct"/>
            <w:tcBorders>
              <w:top w:val="single" w:sz="4" w:space="0" w:color="000000"/>
              <w:left w:val="single" w:sz="4" w:space="0" w:color="000000"/>
              <w:bottom w:val="single" w:sz="4" w:space="0" w:color="000000"/>
              <w:right w:val="single" w:sz="4" w:space="0" w:color="000000"/>
            </w:tcBorders>
            <w:vAlign w:val="center"/>
          </w:tcPr>
          <w:p w14:paraId="091ABC70"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1,434</w:t>
            </w:r>
          </w:p>
        </w:tc>
        <w:tc>
          <w:tcPr>
            <w:tcW w:w="300" w:type="pct"/>
            <w:tcBorders>
              <w:top w:val="single" w:sz="4" w:space="0" w:color="000000"/>
              <w:left w:val="single" w:sz="4" w:space="0" w:color="000000"/>
              <w:bottom w:val="single" w:sz="4" w:space="0" w:color="000000"/>
              <w:right w:val="single" w:sz="4" w:space="0" w:color="000000"/>
            </w:tcBorders>
            <w:vAlign w:val="center"/>
          </w:tcPr>
          <w:p w14:paraId="61BBDCF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1,174</w:t>
            </w:r>
          </w:p>
        </w:tc>
        <w:tc>
          <w:tcPr>
            <w:tcW w:w="300" w:type="pct"/>
            <w:tcBorders>
              <w:top w:val="single" w:sz="4" w:space="0" w:color="000000"/>
              <w:left w:val="single" w:sz="4" w:space="0" w:color="000000"/>
              <w:bottom w:val="single" w:sz="4" w:space="0" w:color="000000"/>
              <w:right w:val="single" w:sz="4" w:space="0" w:color="000000"/>
            </w:tcBorders>
            <w:vAlign w:val="center"/>
          </w:tcPr>
          <w:p w14:paraId="7F19E0F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1,012</w:t>
            </w:r>
          </w:p>
        </w:tc>
        <w:tc>
          <w:tcPr>
            <w:tcW w:w="300" w:type="pct"/>
            <w:tcBorders>
              <w:top w:val="single" w:sz="4" w:space="0" w:color="000000"/>
              <w:left w:val="single" w:sz="4" w:space="0" w:color="000000"/>
              <w:bottom w:val="single" w:sz="4" w:space="0" w:color="000000"/>
              <w:right w:val="single" w:sz="4" w:space="0" w:color="000000"/>
            </w:tcBorders>
            <w:vAlign w:val="center"/>
          </w:tcPr>
          <w:p w14:paraId="1ED8B57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0,674</w:t>
            </w:r>
          </w:p>
        </w:tc>
        <w:tc>
          <w:tcPr>
            <w:tcW w:w="326" w:type="pct"/>
            <w:tcBorders>
              <w:top w:val="single" w:sz="4" w:space="0" w:color="000000"/>
              <w:left w:val="single" w:sz="4" w:space="0" w:color="000000"/>
              <w:bottom w:val="single" w:sz="4" w:space="0" w:color="000000"/>
              <w:right w:val="single" w:sz="4" w:space="0" w:color="000000"/>
            </w:tcBorders>
            <w:vAlign w:val="center"/>
          </w:tcPr>
          <w:p w14:paraId="7AB60CDC"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0,484</w:t>
            </w:r>
          </w:p>
        </w:tc>
        <w:tc>
          <w:tcPr>
            <w:tcW w:w="327" w:type="pct"/>
            <w:tcBorders>
              <w:top w:val="single" w:sz="4" w:space="0" w:color="000000"/>
              <w:left w:val="single" w:sz="4" w:space="0" w:color="000000"/>
              <w:bottom w:val="single" w:sz="4" w:space="0" w:color="000000"/>
              <w:right w:val="single" w:sz="4" w:space="0" w:color="000000"/>
            </w:tcBorders>
            <w:vAlign w:val="center"/>
          </w:tcPr>
          <w:p w14:paraId="35185F70"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327" w:type="pct"/>
            <w:tcBorders>
              <w:top w:val="single" w:sz="4" w:space="0" w:color="000000"/>
              <w:left w:val="single" w:sz="4" w:space="0" w:color="000000"/>
              <w:bottom w:val="single" w:sz="4" w:space="0" w:color="000000"/>
              <w:right w:val="single" w:sz="4" w:space="0" w:color="000000"/>
            </w:tcBorders>
            <w:vAlign w:val="center"/>
          </w:tcPr>
          <w:p w14:paraId="03122DEC"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0,289</w:t>
            </w:r>
          </w:p>
        </w:tc>
      </w:tr>
      <w:tr w:rsidR="00953C8B" w:rsidRPr="00FA6154" w14:paraId="7EF5C410" w14:textId="77777777" w:rsidTr="00CF6696">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14:paraId="065002A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8" w:type="pct"/>
            <w:tcBorders>
              <w:top w:val="single" w:sz="4" w:space="0" w:color="000000"/>
              <w:left w:val="single" w:sz="4" w:space="0" w:color="000000"/>
              <w:bottom w:val="single" w:sz="4" w:space="0" w:color="000000"/>
              <w:right w:val="single" w:sz="4" w:space="0" w:color="000000"/>
            </w:tcBorders>
            <w:vAlign w:val="center"/>
          </w:tcPr>
          <w:p w14:paraId="46819CF3" w14:textId="77777777" w:rsidR="00953C8B" w:rsidRPr="00FA6154" w:rsidRDefault="00953C8B" w:rsidP="00CF6696">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0" w:type="pct"/>
            <w:tcBorders>
              <w:top w:val="single" w:sz="4" w:space="0" w:color="000000"/>
              <w:left w:val="single" w:sz="4" w:space="0" w:color="000000"/>
              <w:bottom w:val="single" w:sz="4" w:space="0" w:color="000000"/>
              <w:right w:val="single" w:sz="4" w:space="0" w:color="000000"/>
            </w:tcBorders>
            <w:vAlign w:val="center"/>
          </w:tcPr>
          <w:p w14:paraId="756EF48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2,901</w:t>
            </w:r>
          </w:p>
        </w:tc>
        <w:tc>
          <w:tcPr>
            <w:tcW w:w="300" w:type="pct"/>
            <w:tcBorders>
              <w:top w:val="single" w:sz="4" w:space="0" w:color="000000"/>
              <w:left w:val="single" w:sz="4" w:space="0" w:color="000000"/>
              <w:bottom w:val="single" w:sz="4" w:space="0" w:color="000000"/>
              <w:right w:val="single" w:sz="4" w:space="0" w:color="000000"/>
            </w:tcBorders>
            <w:vAlign w:val="center"/>
          </w:tcPr>
          <w:p w14:paraId="3CA818F1"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2,461</w:t>
            </w:r>
          </w:p>
        </w:tc>
        <w:tc>
          <w:tcPr>
            <w:tcW w:w="300" w:type="pct"/>
            <w:tcBorders>
              <w:top w:val="single" w:sz="4" w:space="0" w:color="000000"/>
              <w:left w:val="single" w:sz="4" w:space="0" w:color="000000"/>
              <w:bottom w:val="single" w:sz="4" w:space="0" w:color="000000"/>
              <w:right w:val="single" w:sz="4" w:space="0" w:color="000000"/>
            </w:tcBorders>
            <w:vAlign w:val="center"/>
          </w:tcPr>
          <w:p w14:paraId="17D1A20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2,198</w:t>
            </w:r>
          </w:p>
        </w:tc>
        <w:tc>
          <w:tcPr>
            <w:tcW w:w="300" w:type="pct"/>
            <w:tcBorders>
              <w:top w:val="single" w:sz="4" w:space="0" w:color="000000"/>
              <w:left w:val="single" w:sz="4" w:space="0" w:color="000000"/>
              <w:bottom w:val="single" w:sz="4" w:space="0" w:color="000000"/>
              <w:right w:val="single" w:sz="4" w:space="0" w:color="000000"/>
            </w:tcBorders>
            <w:vAlign w:val="center"/>
          </w:tcPr>
          <w:p w14:paraId="6042B80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1,593</w:t>
            </w:r>
          </w:p>
        </w:tc>
        <w:tc>
          <w:tcPr>
            <w:tcW w:w="300" w:type="pct"/>
            <w:tcBorders>
              <w:top w:val="single" w:sz="4" w:space="0" w:color="000000"/>
              <w:left w:val="single" w:sz="4" w:space="0" w:color="000000"/>
              <w:bottom w:val="single" w:sz="4" w:space="0" w:color="000000"/>
              <w:right w:val="single" w:sz="4" w:space="0" w:color="000000"/>
            </w:tcBorders>
            <w:vAlign w:val="center"/>
          </w:tcPr>
          <w:p w14:paraId="7A9A75D9"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1,560</w:t>
            </w:r>
          </w:p>
        </w:tc>
        <w:tc>
          <w:tcPr>
            <w:tcW w:w="300" w:type="pct"/>
            <w:tcBorders>
              <w:top w:val="single" w:sz="4" w:space="0" w:color="000000"/>
              <w:left w:val="single" w:sz="4" w:space="0" w:color="000000"/>
              <w:bottom w:val="single" w:sz="4" w:space="0" w:color="000000"/>
              <w:right w:val="single" w:sz="4" w:space="0" w:color="000000"/>
            </w:tcBorders>
            <w:vAlign w:val="center"/>
          </w:tcPr>
          <w:p w14:paraId="12A80477"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1,275</w:t>
            </w:r>
          </w:p>
        </w:tc>
        <w:tc>
          <w:tcPr>
            <w:tcW w:w="300" w:type="pct"/>
            <w:tcBorders>
              <w:top w:val="single" w:sz="4" w:space="0" w:color="000000"/>
              <w:left w:val="single" w:sz="4" w:space="0" w:color="000000"/>
              <w:bottom w:val="single" w:sz="4" w:space="0" w:color="000000"/>
              <w:right w:val="single" w:sz="4" w:space="0" w:color="000000"/>
            </w:tcBorders>
            <w:vAlign w:val="center"/>
          </w:tcPr>
          <w:p w14:paraId="52BFFBCE"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1,071</w:t>
            </w:r>
          </w:p>
        </w:tc>
        <w:tc>
          <w:tcPr>
            <w:tcW w:w="300" w:type="pct"/>
            <w:tcBorders>
              <w:top w:val="single" w:sz="4" w:space="0" w:color="000000"/>
              <w:left w:val="single" w:sz="4" w:space="0" w:color="000000"/>
              <w:bottom w:val="single" w:sz="4" w:space="0" w:color="000000"/>
              <w:right w:val="single" w:sz="4" w:space="0" w:color="000000"/>
            </w:tcBorders>
            <w:vAlign w:val="center"/>
          </w:tcPr>
          <w:p w14:paraId="2A2BFEFB"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0,899</w:t>
            </w:r>
          </w:p>
        </w:tc>
        <w:tc>
          <w:tcPr>
            <w:tcW w:w="300" w:type="pct"/>
            <w:tcBorders>
              <w:top w:val="single" w:sz="4" w:space="0" w:color="000000"/>
              <w:left w:val="single" w:sz="4" w:space="0" w:color="000000"/>
              <w:bottom w:val="single" w:sz="4" w:space="0" w:color="000000"/>
              <w:right w:val="single" w:sz="4" w:space="0" w:color="000000"/>
            </w:tcBorders>
            <w:vAlign w:val="center"/>
          </w:tcPr>
          <w:p w14:paraId="74E1A14C"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0,599</w:t>
            </w:r>
          </w:p>
        </w:tc>
        <w:tc>
          <w:tcPr>
            <w:tcW w:w="326" w:type="pct"/>
            <w:tcBorders>
              <w:top w:val="single" w:sz="4" w:space="0" w:color="000000"/>
              <w:left w:val="single" w:sz="4" w:space="0" w:color="000000"/>
              <w:bottom w:val="single" w:sz="4" w:space="0" w:color="000000"/>
              <w:right w:val="single" w:sz="4" w:space="0" w:color="000000"/>
            </w:tcBorders>
            <w:vAlign w:val="center"/>
          </w:tcPr>
          <w:p w14:paraId="0EF5D0B5"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0,429</w:t>
            </w:r>
          </w:p>
        </w:tc>
        <w:tc>
          <w:tcPr>
            <w:tcW w:w="327" w:type="pct"/>
            <w:tcBorders>
              <w:top w:val="single" w:sz="4" w:space="0" w:color="000000"/>
              <w:left w:val="single" w:sz="4" w:space="0" w:color="000000"/>
              <w:bottom w:val="single" w:sz="4" w:space="0" w:color="000000"/>
              <w:right w:val="single" w:sz="4" w:space="0" w:color="000000"/>
            </w:tcBorders>
            <w:vAlign w:val="center"/>
          </w:tcPr>
          <w:p w14:paraId="0754590B"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0,321</w:t>
            </w:r>
          </w:p>
        </w:tc>
        <w:tc>
          <w:tcPr>
            <w:tcW w:w="327" w:type="pct"/>
            <w:tcBorders>
              <w:top w:val="single" w:sz="4" w:space="0" w:color="000000"/>
              <w:left w:val="single" w:sz="4" w:space="0" w:color="000000"/>
              <w:bottom w:val="single" w:sz="4" w:space="0" w:color="000000"/>
              <w:right w:val="single" w:sz="4" w:space="0" w:color="000000"/>
            </w:tcBorders>
            <w:vAlign w:val="center"/>
          </w:tcPr>
          <w:p w14:paraId="49E8B1B2" w14:textId="77777777" w:rsidR="00953C8B" w:rsidRPr="00FA6154" w:rsidRDefault="00953C8B"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0,257</w:t>
            </w:r>
          </w:p>
        </w:tc>
      </w:tr>
    </w:tbl>
    <w:p w14:paraId="356FA82D" w14:textId="77777777" w:rsidR="00953C8B" w:rsidRPr="00FA6154" w:rsidRDefault="00953C8B" w:rsidP="00953C8B">
      <w:pPr>
        <w:widowControl w:val="0"/>
        <w:autoSpaceDE w:val="0"/>
        <w:autoSpaceDN w:val="0"/>
        <w:adjustRightInd w:val="0"/>
        <w:spacing w:before="120"/>
        <w:rPr>
          <w:rFonts w:ascii="Arial" w:hAnsi="Arial" w:cs="Arial"/>
          <w:i/>
          <w:iCs/>
          <w:sz w:val="20"/>
          <w:szCs w:val="28"/>
        </w:rPr>
      </w:pPr>
    </w:p>
    <w:p w14:paraId="1793A4AF"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Ghi chú:</w:t>
      </w:r>
    </w:p>
    <w:p w14:paraId="16219B5A"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dự phòng.</w:t>
      </w:r>
    </w:p>
    <w:p w14:paraId="22519401"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để chủ đầu tư trực tiếp thực hiện công việc thẩm định (không thuê đơn vị tư vấn thẩm tra) thiết kế xây dựng triển khai sau thiết kế cơ sở và thẩm định dự toán xây dựng. Chi phí để chủ đầu tư trực tiếp thẩm định các công việc trên xác định bằng 80% chi phí thẩm tra thiết kế, dự toán xây dựng theo hướng dẫn tại Thông tư này và bổ sung thêm vào nguồn chi phí quản lý dự án.</w:t>
      </w:r>
    </w:p>
    <w:p w14:paraId="2EA7A8B4" w14:textId="77777777" w:rsidR="00953C8B" w:rsidRPr="00FA6154" w:rsidRDefault="00953C8B" w:rsidP="00953C8B">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của dự án đầu tư xây dựng công trình hàng không xác định theo định mức chi phí của loại công trình dân dụng.</w:t>
      </w:r>
    </w:p>
    <w:p w14:paraId="527989C0" w14:textId="77777777" w:rsidR="0069192A" w:rsidRPr="00953C8B" w:rsidRDefault="0069192A" w:rsidP="00953C8B"/>
    <w:sectPr w:rsidR="0069192A" w:rsidRPr="00953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8B"/>
    <w:rsid w:val="00554388"/>
    <w:rsid w:val="0069192A"/>
    <w:rsid w:val="00792765"/>
    <w:rsid w:val="00953C8B"/>
    <w:rsid w:val="00E6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A216"/>
  <w15:chartTrackingRefBased/>
  <w15:docId w15:val="{E589AB78-BFCF-4860-94B0-B33F5C5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8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953C8B"/>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953C8B"/>
    <w:pPr>
      <w:tabs>
        <w:tab w:val="center" w:pos="4320"/>
        <w:tab w:val="right" w:pos="8640"/>
      </w:tabs>
    </w:pPr>
  </w:style>
  <w:style w:type="character" w:customStyle="1" w:styleId="HeaderChar">
    <w:name w:val="Header Char"/>
    <w:basedOn w:val="DefaultParagraphFont"/>
    <w:link w:val="Header"/>
    <w:rsid w:val="00953C8B"/>
    <w:rPr>
      <w:rFonts w:ascii="Times New Roman" w:eastAsia="SimSun" w:hAnsi="Times New Roman" w:cs="Times New Roman"/>
      <w:sz w:val="24"/>
      <w:szCs w:val="24"/>
      <w:lang w:eastAsia="zh-CN"/>
    </w:rPr>
  </w:style>
  <w:style w:type="paragraph" w:styleId="Footer">
    <w:name w:val="footer"/>
    <w:basedOn w:val="Normal"/>
    <w:link w:val="FooterChar"/>
    <w:rsid w:val="00953C8B"/>
    <w:pPr>
      <w:tabs>
        <w:tab w:val="center" w:pos="4320"/>
        <w:tab w:val="right" w:pos="8640"/>
      </w:tabs>
    </w:pPr>
  </w:style>
  <w:style w:type="character" w:customStyle="1" w:styleId="FooterChar">
    <w:name w:val="Footer Char"/>
    <w:basedOn w:val="DefaultParagraphFont"/>
    <w:link w:val="Footer"/>
    <w:rsid w:val="00953C8B"/>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53C8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953C8B"/>
    <w:rPr>
      <w:color w:val="FF0000"/>
      <w:sz w:val="11"/>
      <w:szCs w:val="11"/>
    </w:rPr>
  </w:style>
  <w:style w:type="paragraph" w:styleId="NormalWeb">
    <w:name w:val="Normal (Web)"/>
    <w:basedOn w:val="Normal"/>
    <w:uiPriority w:val="99"/>
    <w:semiHidden/>
    <w:unhideWhenUsed/>
    <w:rsid w:val="00953C8B"/>
    <w:pPr>
      <w:spacing w:before="100" w:beforeAutospacing="1" w:after="100" w:afterAutospacing="1"/>
    </w:pPr>
    <w:rPr>
      <w:rFonts w:eastAsia="Times New Roman"/>
      <w:lang w:eastAsia="en-US"/>
    </w:rPr>
  </w:style>
  <w:style w:type="character" w:styleId="Hyperlink">
    <w:name w:val="Hyperlink"/>
    <w:basedOn w:val="DefaultParagraphFont"/>
    <w:uiPriority w:val="99"/>
    <w:semiHidden/>
    <w:unhideWhenUsed/>
    <w:rsid w:val="00953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2034">
      <w:bodyDiv w:val="1"/>
      <w:marLeft w:val="0"/>
      <w:marRight w:val="0"/>
      <w:marTop w:val="0"/>
      <w:marBottom w:val="0"/>
      <w:divBdr>
        <w:top w:val="none" w:sz="0" w:space="0" w:color="auto"/>
        <w:left w:val="none" w:sz="0" w:space="0" w:color="auto"/>
        <w:bottom w:val="none" w:sz="0" w:space="0" w:color="auto"/>
        <w:right w:val="none" w:sz="0" w:space="0" w:color="auto"/>
      </w:divBdr>
    </w:div>
    <w:div w:id="234900034">
      <w:bodyDiv w:val="1"/>
      <w:marLeft w:val="0"/>
      <w:marRight w:val="0"/>
      <w:marTop w:val="0"/>
      <w:marBottom w:val="0"/>
      <w:divBdr>
        <w:top w:val="none" w:sz="0" w:space="0" w:color="auto"/>
        <w:left w:val="none" w:sz="0" w:space="0" w:color="auto"/>
        <w:bottom w:val="none" w:sz="0" w:space="0" w:color="auto"/>
        <w:right w:val="none" w:sz="0" w:space="0" w:color="auto"/>
      </w:divBdr>
    </w:div>
    <w:div w:id="530608579">
      <w:bodyDiv w:val="1"/>
      <w:marLeft w:val="0"/>
      <w:marRight w:val="0"/>
      <w:marTop w:val="0"/>
      <w:marBottom w:val="0"/>
      <w:divBdr>
        <w:top w:val="none" w:sz="0" w:space="0" w:color="auto"/>
        <w:left w:val="none" w:sz="0" w:space="0" w:color="auto"/>
        <w:bottom w:val="none" w:sz="0" w:space="0" w:color="auto"/>
        <w:right w:val="none" w:sz="0" w:space="0" w:color="auto"/>
      </w:divBdr>
    </w:div>
    <w:div w:id="848762332">
      <w:bodyDiv w:val="1"/>
      <w:marLeft w:val="0"/>
      <w:marRight w:val="0"/>
      <w:marTop w:val="0"/>
      <w:marBottom w:val="0"/>
      <w:divBdr>
        <w:top w:val="none" w:sz="0" w:space="0" w:color="auto"/>
        <w:left w:val="none" w:sz="0" w:space="0" w:color="auto"/>
        <w:bottom w:val="none" w:sz="0" w:space="0" w:color="auto"/>
        <w:right w:val="none" w:sz="0" w:space="0" w:color="auto"/>
      </w:divBdr>
    </w:div>
    <w:div w:id="13063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2025-10-17T01:18:00Z</dcterms:created>
  <dcterms:modified xsi:type="dcterms:W3CDTF">2025-10-17T01:34:00Z</dcterms:modified>
</cp:coreProperties>
</file>