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245"/>
      </w:tblGrid>
      <w:tr w:rsidR="003546D3" w:rsidRPr="003546D3" w:rsidTr="003546D3">
        <w:tc>
          <w:tcPr>
            <w:tcW w:w="4531" w:type="dxa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TÊN CƠ QUAN QUẢN LÝ CẤP TRÊN CỦA CƠ QUAN TỔNG HỢP:...</w:t>
            </w:r>
          </w:p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CƠ QUAN TỔNG HỢP:...</w:t>
            </w:r>
          </w:p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____________</w:t>
            </w:r>
          </w:p>
        </w:tc>
        <w:tc>
          <w:tcPr>
            <w:tcW w:w="5245" w:type="dxa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 HỘI CHỦ NGHĨA VIỆT NAM</w:t>
            </w:r>
          </w:p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________________________</w:t>
            </w:r>
          </w:p>
        </w:tc>
      </w:tr>
      <w:tr w:rsidR="003546D3" w:rsidRPr="003546D3" w:rsidTr="003546D3">
        <w:tc>
          <w:tcPr>
            <w:tcW w:w="4531" w:type="dxa"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46D3" w:rsidRPr="003546D3" w:rsidTr="003546D3">
        <w:tc>
          <w:tcPr>
            <w:tcW w:w="4531" w:type="dxa"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546D3" w:rsidRPr="003546D3" w:rsidRDefault="003546D3" w:rsidP="00354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546D3" w:rsidRPr="003546D3" w:rsidRDefault="003546D3" w:rsidP="003546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BÁO CÁO</w:t>
      </w:r>
    </w:p>
    <w:p w:rsidR="003546D3" w:rsidRPr="003546D3" w:rsidRDefault="003546D3" w:rsidP="003546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TỔNG HỢP ĐỀ XUẤT PHƯƠNG ÁN SẮP XẾP LẠI, XỬ LÝ NHÀ, ĐẤT</w:t>
      </w:r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(ÁP DỤNG ĐỐI VỚI CƠ QUAN TỔNG HỢP)</w:t>
      </w:r>
    </w:p>
    <w:p w:rsidR="003546D3" w:rsidRPr="003546D3" w:rsidRDefault="003546D3" w:rsidP="003546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</w:t>
      </w:r>
    </w:p>
    <w:p w:rsidR="003546D3" w:rsidRPr="003546D3" w:rsidRDefault="003546D3" w:rsidP="00354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2017;</w:t>
      </w:r>
    </w:p>
    <w:p w:rsid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khoán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2024;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03/2025/NĐ-CP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01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01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3546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546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3546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(2)</w:t>
      </w:r>
      <w:r w:rsidRPr="003546D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I: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khác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gắn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liền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đất</w:t>
      </w:r>
      <w:bookmarkStart w:id="0" w:name="_GoBack"/>
      <w:bookmarkEnd w:id="0"/>
      <w:proofErr w:type="spell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059"/>
        <w:gridCol w:w="569"/>
        <w:gridCol w:w="666"/>
        <w:gridCol w:w="765"/>
        <w:gridCol w:w="765"/>
        <w:gridCol w:w="765"/>
        <w:gridCol w:w="666"/>
        <w:gridCol w:w="666"/>
        <w:gridCol w:w="666"/>
        <w:gridCol w:w="826"/>
        <w:gridCol w:w="813"/>
        <w:gridCol w:w="469"/>
      </w:tblGrid>
      <w:tr w:rsidR="003546D3" w:rsidRPr="003546D3" w:rsidTr="003546D3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TT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1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đất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(m2)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khác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gắn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liền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đích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sử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trạng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sử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Phương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xuất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phương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3546D3" w:rsidRPr="003546D3" w:rsidTr="003546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Diện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Diện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xây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dựng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Diện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sàn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xây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dựng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Diện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sàn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sử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546D3" w:rsidRPr="003546D3" w:rsidTr="003546D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(13)</w:t>
            </w:r>
          </w:p>
        </w:tc>
      </w:tr>
      <w:tr w:rsidR="003546D3" w:rsidRPr="003546D3" w:rsidTr="003546D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A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546D3" w:rsidRPr="003546D3" w:rsidTr="003546D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6D3" w:rsidRPr="003546D3" w:rsidTr="003546D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2....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6D3" w:rsidRPr="003546D3" w:rsidTr="003546D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546D3" w:rsidRPr="003546D3" w:rsidTr="003546D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6D3" w:rsidRPr="003546D3" w:rsidTr="003546D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2....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6D3" w:rsidRPr="003546D3" w:rsidTr="003546D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>* </w:t>
      </w:r>
      <w:proofErr w:type="spellStart"/>
      <w:r w:rsidRPr="003546D3">
        <w:rPr>
          <w:rFonts w:ascii="Times New Roman" w:eastAsia="Times New Roman" w:hAnsi="Times New Roman" w:cs="Times New Roman"/>
          <w:i/>
          <w:iCs/>
          <w:sz w:val="24"/>
          <w:szCs w:val="24"/>
        </w:rPr>
        <w:t>Hướng</w:t>
      </w:r>
      <w:proofErr w:type="spellEnd"/>
      <w:r w:rsidRPr="00354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i/>
          <w:iCs/>
          <w:sz w:val="24"/>
          <w:szCs w:val="24"/>
        </w:rPr>
        <w:t>dẫn</w:t>
      </w:r>
      <w:proofErr w:type="spellEnd"/>
      <w:r w:rsidRPr="00354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i/>
          <w:iCs/>
          <w:sz w:val="24"/>
          <w:szCs w:val="24"/>
        </w:rPr>
        <w:t>chỉ</w:t>
      </w:r>
      <w:proofErr w:type="spellEnd"/>
      <w:r w:rsidRPr="00354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i/>
          <w:iCs/>
          <w:sz w:val="24"/>
          <w:szCs w:val="24"/>
        </w:rPr>
        <w:t>tiêu</w:t>
      </w:r>
      <w:proofErr w:type="spellEnd"/>
      <w:r w:rsidRPr="003546D3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(3), (4), (5), (6), (7), (8), (9)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(10):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01a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(3)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khuôn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(4)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khuôn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(5)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sàn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sàn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tầng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khuôn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(6)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sàn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sàn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khuôn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4, 5, 6)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13).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(7)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gắn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liền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khuôn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(8)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(9)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thuê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nhượng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sắm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(10)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khuôn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tách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xen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xen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(11)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(12)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10,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11,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12,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13,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thuyết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II: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khác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01a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”, “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01a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275"/>
        <w:gridCol w:w="1348"/>
        <w:gridCol w:w="1348"/>
        <w:gridCol w:w="1542"/>
        <w:gridCol w:w="1157"/>
      </w:tblGrid>
      <w:tr w:rsidR="003546D3" w:rsidRPr="003546D3" w:rsidTr="003546D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Danh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Tình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trạng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sử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3546D3" w:rsidRPr="003546D3" w:rsidTr="003546D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3546D3" w:rsidRPr="003546D3" w:rsidTr="003546D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A/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6D3" w:rsidRPr="003546D3" w:rsidTr="003546D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6D3" w:rsidRPr="003546D3" w:rsidTr="003546D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B...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6D3" w:rsidRPr="003546D3" w:rsidTr="003546D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B/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6D3" w:rsidRPr="003546D3" w:rsidTr="003546D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6D3" w:rsidRPr="003546D3" w:rsidTr="003546D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B...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546D3" w:rsidRPr="003546D3" w:rsidRDefault="003546D3" w:rsidP="003546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546D3" w:rsidRPr="003546D3" w:rsidRDefault="003546D3" w:rsidP="003546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tbl>
      <w:tblPr>
        <w:tblW w:w="10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661"/>
      </w:tblGrid>
      <w:tr w:rsidR="003546D3" w:rsidRPr="003546D3" w:rsidTr="003546D3">
        <w:tc>
          <w:tcPr>
            <w:tcW w:w="4678" w:type="dxa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LẬP BÁO CÁO</w:t>
            </w:r>
          </w:p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661" w:type="dxa"/>
            <w:hideMark/>
          </w:tcPr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….,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….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….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….</w:t>
            </w:r>
          </w:p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 TRƯỞNG CƠ QUAN TỔNG HỢP</w:t>
            </w:r>
          </w:p>
          <w:p w:rsidR="003546D3" w:rsidRPr="003546D3" w:rsidRDefault="003546D3" w:rsidP="00354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35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546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chú</w:t>
      </w:r>
      <w:proofErr w:type="spellEnd"/>
      <w:r w:rsidRPr="003546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546D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546D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546D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46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546D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D371D" w:rsidRPr="003546D3" w:rsidRDefault="003546D3" w:rsidP="003546D3">
      <w:pPr>
        <w:rPr>
          <w:rFonts w:ascii="Times New Roman" w:hAnsi="Times New Roman" w:cs="Times New Roman"/>
          <w:sz w:val="24"/>
          <w:szCs w:val="24"/>
        </w:rPr>
      </w:pPr>
      <w:r w:rsidRPr="003546D3">
        <w:rPr>
          <w:rFonts w:ascii="Times New Roman" w:eastAsia="Times New Roman" w:hAnsi="Times New Roman" w:cs="Times New Roman"/>
          <w:color w:val="2E2E2E"/>
          <w:sz w:val="24"/>
          <w:szCs w:val="24"/>
        </w:rPr>
        <w:t> </w:t>
      </w:r>
    </w:p>
    <w:sectPr w:rsidR="00BD371D" w:rsidRPr="003546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D3"/>
    <w:rsid w:val="003546D3"/>
    <w:rsid w:val="00B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277F6B-A63C-456C-8EFA-2C85CFEF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link">
    <w:name w:val="doclink"/>
    <w:basedOn w:val="DefaultParagraphFont"/>
    <w:rsid w:val="0035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2025-01-15T07:47:00Z</dcterms:created>
  <dcterms:modified xsi:type="dcterms:W3CDTF">2025-01-15T07:49:00Z</dcterms:modified>
</cp:coreProperties>
</file>