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color w:val="444444"/>
          <w:sz w:val="18"/>
          <w:szCs w:val="18"/>
        </w:rPr>
      </w:pPr>
      <w:r w:rsidDel="00000000" w:rsidR="00000000" w:rsidRPr="00000000">
        <w:rPr>
          <w:b w:val="1"/>
          <w:color w:val="444444"/>
          <w:sz w:val="18"/>
          <w:szCs w:val="18"/>
          <w:rtl w:val="0"/>
        </w:rPr>
        <w:t xml:space="preserve">PHỤ LỤC 4b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color w:val="444444"/>
          <w:sz w:val="20"/>
          <w:szCs w:val="20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MẪU CHỨNG CHỈ HÀNH NGHỀ MÔI GIỚI BẤT ĐỘNG SẢN (CẤP LẠI, CẤP ĐỔI)</w:t>
        <w:br w:type="textWrapping"/>
      </w: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(Ban hành kèm theo Thông tư số 11/2015/TT-BXD ngày 30/12/2015 của Bộ Xây dựng Quy định việc cấp chứng chỉ hành nghề môi giới bất động sản; hướng dẫn việc đào tạo, bồi dưỡng kiến thức hành nghề môi giới bất động sản, điều hành sàn giao dịch bất động sản; quy định việc thành lập và tổ chức hoạt động của sàn giao dịch bất động sản)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color w:val="444444"/>
          <w:sz w:val="20"/>
          <w:szCs w:val="20"/>
        </w:rPr>
      </w:pPr>
      <w:r w:rsidDel="00000000" w:rsidR="00000000" w:rsidRPr="00000000">
        <w:rPr>
          <w:i w:val="1"/>
          <w:color w:val="444444"/>
          <w:sz w:val="20"/>
          <w:szCs w:val="20"/>
        </w:rPr>
        <w:drawing>
          <wp:inline distB="114300" distT="114300" distL="114300" distR="114300">
            <wp:extent cx="5270500" cy="53721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7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color w:val="444444"/>
          <w:sz w:val="20"/>
          <w:szCs w:val="20"/>
        </w:rPr>
      </w:pP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Ghi chú: Số chứng chỉ ghi theo địa phương (ví dụ: HN-0001, HCM-0001).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color w:val="444444"/>
          <w:sz w:val="20"/>
          <w:szCs w:val="20"/>
        </w:rPr>
      </w:pP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(*) Chứng chỉ cấp lại, cấp đổi có thời hạn 5 năm kể từ ngày cấp chứng chỉ cũ</w:t>
      </w:r>
    </w:p>
    <w:p w:rsidR="00000000" w:rsidDel="00000000" w:rsidP="00000000" w:rsidRDefault="00000000" w:rsidRPr="00000000" w14:paraId="00000006">
      <w:pPr>
        <w:rPr>
          <w:color w:val="444444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240" w:line="390" w:lineRule="auto"/>
      <w:rPr>
        <w:b w:val="1"/>
        <w:color w:val="444444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