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F160DC" w:rsidRPr="00F160DC" w14:paraId="45333544" w14:textId="77777777" w:rsidTr="00F160DC">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6D74CCF" w14:textId="3B16A1CD" w:rsidR="00A11780" w:rsidRPr="00F160DC" w:rsidRDefault="00EE024A" w:rsidP="00F160DC">
            <w:pPr>
              <w:adjustRightInd w:val="0"/>
              <w:snapToGrid w:val="0"/>
              <w:jc w:val="center"/>
              <w:rPr>
                <w:rFonts w:asciiTheme="minorHAnsi" w:hAnsiTheme="minorHAnsi" w:cstheme="minorHAnsi"/>
                <w:color w:val="000000" w:themeColor="text1"/>
                <w:sz w:val="20"/>
                <w:szCs w:val="20"/>
                <w:lang w:val="en-GB"/>
              </w:rPr>
            </w:pPr>
            <w:bookmarkStart w:id="0" w:name="_GoBack"/>
            <w:bookmarkEnd w:id="0"/>
            <w:r w:rsidRPr="00F160DC">
              <w:rPr>
                <w:rFonts w:asciiTheme="minorHAnsi" w:hAnsiTheme="minorHAnsi" w:cstheme="minorHAnsi"/>
                <w:b/>
                <w:bCs/>
                <w:color w:val="000000" w:themeColor="text1"/>
                <w:sz w:val="20"/>
                <w:szCs w:val="20"/>
              </w:rPr>
              <w:t xml:space="preserve">NGÂN HÀNG NHÀ NƯỚC </w:t>
            </w:r>
            <w:r w:rsidRPr="00F160DC">
              <w:rPr>
                <w:rFonts w:asciiTheme="minorHAnsi" w:hAnsiTheme="minorHAnsi" w:cstheme="minorHAnsi"/>
                <w:b/>
                <w:bCs/>
                <w:color w:val="000000" w:themeColor="text1"/>
                <w:sz w:val="20"/>
                <w:szCs w:val="20"/>
              </w:rPr>
              <w:br/>
              <w:t>VIỆT NAM</w:t>
            </w:r>
            <w:r w:rsidRPr="00F160DC">
              <w:rPr>
                <w:rFonts w:asciiTheme="minorHAnsi" w:hAnsiTheme="minorHAnsi" w:cstheme="minorHAnsi"/>
                <w:b/>
                <w:bCs/>
                <w:color w:val="000000" w:themeColor="text1"/>
                <w:sz w:val="20"/>
                <w:szCs w:val="20"/>
              </w:rPr>
              <w:br/>
            </w:r>
            <w:r w:rsidR="00F160DC" w:rsidRPr="00F160DC">
              <w:rPr>
                <w:rFonts w:asciiTheme="minorHAnsi" w:hAnsiTheme="minorHAnsi" w:cstheme="minorHAnsi"/>
                <w:color w:val="000000" w:themeColor="text1"/>
                <w:sz w:val="20"/>
                <w:szCs w:val="20"/>
                <w:vertAlign w:val="superscript"/>
                <w:lang w:val="en-GB"/>
              </w:rPr>
              <w:t>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CAA8814" w14:textId="73BC64C1" w:rsidR="00A11780" w:rsidRPr="00F160DC" w:rsidRDefault="00EE024A" w:rsidP="00F160DC">
            <w:pPr>
              <w:adjustRightInd w:val="0"/>
              <w:snapToGrid w:val="0"/>
              <w:jc w:val="center"/>
              <w:rPr>
                <w:rFonts w:asciiTheme="minorHAnsi" w:hAnsiTheme="minorHAnsi" w:cstheme="minorHAnsi"/>
                <w:color w:val="000000" w:themeColor="text1"/>
                <w:sz w:val="20"/>
                <w:szCs w:val="20"/>
                <w:lang w:val="en-GB"/>
              </w:rPr>
            </w:pPr>
            <w:r w:rsidRPr="00F160DC">
              <w:rPr>
                <w:rFonts w:asciiTheme="minorHAnsi" w:hAnsiTheme="minorHAnsi" w:cstheme="minorHAnsi"/>
                <w:b/>
                <w:bCs/>
                <w:color w:val="000000" w:themeColor="text1"/>
                <w:sz w:val="20"/>
                <w:szCs w:val="20"/>
              </w:rPr>
              <w:t>CỘNG HÒA XÃ HỘI CHỦ NGHĨA VIỆT NAM</w:t>
            </w:r>
            <w:r w:rsidRPr="00F160DC">
              <w:rPr>
                <w:rFonts w:asciiTheme="minorHAnsi" w:hAnsiTheme="minorHAnsi" w:cstheme="minorHAnsi"/>
                <w:b/>
                <w:bCs/>
                <w:color w:val="000000" w:themeColor="text1"/>
                <w:sz w:val="20"/>
                <w:szCs w:val="20"/>
              </w:rPr>
              <w:br/>
              <w:t xml:space="preserve">Độc lập - Tự do - Hạnh phúc </w:t>
            </w:r>
            <w:r w:rsidRPr="00F160DC">
              <w:rPr>
                <w:rFonts w:asciiTheme="minorHAnsi" w:hAnsiTheme="minorHAnsi" w:cstheme="minorHAnsi"/>
                <w:b/>
                <w:bCs/>
                <w:color w:val="000000" w:themeColor="text1"/>
                <w:sz w:val="20"/>
                <w:szCs w:val="20"/>
              </w:rPr>
              <w:br/>
            </w:r>
            <w:r w:rsidR="00F160DC" w:rsidRPr="00F160DC">
              <w:rPr>
                <w:rFonts w:asciiTheme="minorHAnsi" w:hAnsiTheme="minorHAnsi" w:cstheme="minorHAnsi"/>
                <w:color w:val="000000" w:themeColor="text1"/>
                <w:sz w:val="20"/>
                <w:szCs w:val="20"/>
                <w:vertAlign w:val="superscript"/>
                <w:lang w:val="en-GB"/>
              </w:rPr>
              <w:t>______________________</w:t>
            </w:r>
          </w:p>
        </w:tc>
      </w:tr>
      <w:tr w:rsidR="00F160DC" w:rsidRPr="00F160DC" w14:paraId="1F321918" w14:textId="77777777" w:rsidTr="00F160DC">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88F4EEA" w14:textId="77777777" w:rsidR="00A11780" w:rsidRPr="00F160DC" w:rsidRDefault="00EE024A" w:rsidP="00F160DC">
            <w:pPr>
              <w:adjustRightInd w:val="0"/>
              <w:snapToGrid w:val="0"/>
              <w:jc w:val="center"/>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Số: 2690/QĐ-NHNN</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CD33F5A" w14:textId="77777777" w:rsidR="00A11780" w:rsidRPr="00F160DC" w:rsidRDefault="00EE024A" w:rsidP="00F160DC">
            <w:pPr>
              <w:adjustRightInd w:val="0"/>
              <w:snapToGrid w:val="0"/>
              <w:jc w:val="center"/>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Hà Nội, ngày 18 tháng 12 năm 2024</w:t>
            </w:r>
          </w:p>
        </w:tc>
      </w:tr>
    </w:tbl>
    <w:p w14:paraId="5FF96670" w14:textId="77777777" w:rsidR="00A11780" w:rsidRPr="00F160DC" w:rsidRDefault="00EE024A" w:rsidP="00F160DC">
      <w:pPr>
        <w:adjustRightInd w:val="0"/>
        <w:snapToGrid w:val="0"/>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 </w:t>
      </w:r>
    </w:p>
    <w:p w14:paraId="7174AF4C" w14:textId="77777777" w:rsidR="00F160DC" w:rsidRDefault="00F160DC" w:rsidP="00F160DC">
      <w:pPr>
        <w:adjustRightInd w:val="0"/>
        <w:snapToGrid w:val="0"/>
        <w:jc w:val="center"/>
        <w:rPr>
          <w:rFonts w:asciiTheme="minorHAnsi" w:hAnsiTheme="minorHAnsi" w:cstheme="minorHAnsi"/>
          <w:b/>
          <w:bCs/>
          <w:color w:val="000000" w:themeColor="text1"/>
          <w:sz w:val="20"/>
          <w:szCs w:val="20"/>
          <w:lang w:val="en-GB"/>
        </w:rPr>
      </w:pPr>
    </w:p>
    <w:p w14:paraId="7DDBC3C8" w14:textId="5982293B" w:rsidR="00A11780" w:rsidRPr="00F160DC" w:rsidRDefault="00EE024A" w:rsidP="00F160DC">
      <w:pPr>
        <w:adjustRightInd w:val="0"/>
        <w:snapToGrid w:val="0"/>
        <w:jc w:val="center"/>
        <w:rPr>
          <w:rFonts w:asciiTheme="minorHAnsi" w:hAnsiTheme="minorHAnsi" w:cstheme="minorHAnsi"/>
          <w:color w:val="000000" w:themeColor="text1"/>
          <w:sz w:val="20"/>
          <w:szCs w:val="20"/>
        </w:rPr>
      </w:pPr>
      <w:r w:rsidRPr="00F160DC">
        <w:rPr>
          <w:rFonts w:asciiTheme="minorHAnsi" w:hAnsiTheme="minorHAnsi" w:cstheme="minorHAnsi"/>
          <w:b/>
          <w:bCs/>
          <w:color w:val="000000" w:themeColor="text1"/>
          <w:sz w:val="20"/>
          <w:szCs w:val="20"/>
        </w:rPr>
        <w:t>QUYẾT ĐỊNH</w:t>
      </w:r>
    </w:p>
    <w:p w14:paraId="72F2BB7A" w14:textId="1BCF9888" w:rsidR="00A11780" w:rsidRPr="00F160DC" w:rsidRDefault="00F160DC" w:rsidP="00F160DC">
      <w:pPr>
        <w:adjustRightInd w:val="0"/>
        <w:snapToGrid w:val="0"/>
        <w:jc w:val="center"/>
        <w:rPr>
          <w:rFonts w:asciiTheme="minorHAnsi" w:hAnsiTheme="minorHAnsi" w:cstheme="minorHAnsi"/>
          <w:b/>
          <w:bCs/>
          <w:color w:val="000000" w:themeColor="text1"/>
          <w:sz w:val="20"/>
          <w:szCs w:val="20"/>
        </w:rPr>
      </w:pPr>
      <w:r w:rsidRPr="00F160DC">
        <w:rPr>
          <w:rFonts w:asciiTheme="minorHAnsi" w:hAnsiTheme="minorHAnsi" w:cstheme="minorHAnsi"/>
          <w:b/>
          <w:bCs/>
          <w:color w:val="000000" w:themeColor="text1"/>
          <w:sz w:val="20"/>
          <w:szCs w:val="20"/>
        </w:rPr>
        <w:t xml:space="preserve">Về mức lãi suất của các ngân hàng thương mại áp dụng trong năm 2025 </w:t>
      </w:r>
      <w:r w:rsidRPr="00F160DC">
        <w:rPr>
          <w:rFonts w:asciiTheme="minorHAnsi" w:hAnsiTheme="minorHAnsi" w:cstheme="minorHAnsi"/>
          <w:b/>
          <w:bCs/>
          <w:color w:val="000000" w:themeColor="text1"/>
          <w:sz w:val="20"/>
          <w:szCs w:val="20"/>
        </w:rPr>
        <w:br/>
        <w:t xml:space="preserve">đối với dư nợ của các khoản cho vay hỗ trợ nhà ở theo quy định </w:t>
      </w:r>
      <w:r w:rsidRPr="00F160DC">
        <w:rPr>
          <w:rFonts w:asciiTheme="minorHAnsi" w:hAnsiTheme="minorHAnsi" w:cstheme="minorHAnsi"/>
          <w:b/>
          <w:bCs/>
          <w:color w:val="000000" w:themeColor="text1"/>
          <w:sz w:val="20"/>
          <w:szCs w:val="20"/>
        </w:rPr>
        <w:br/>
        <w:t xml:space="preserve">tại Thông tư số 11/2013/TT-NHNN ngày 15 tháng 5 năm 2013, </w:t>
      </w:r>
      <w:r w:rsidRPr="00F160DC">
        <w:rPr>
          <w:rFonts w:asciiTheme="minorHAnsi" w:hAnsiTheme="minorHAnsi" w:cstheme="minorHAnsi"/>
          <w:b/>
          <w:bCs/>
          <w:color w:val="000000" w:themeColor="text1"/>
          <w:sz w:val="20"/>
          <w:szCs w:val="20"/>
        </w:rPr>
        <w:br/>
        <w:t xml:space="preserve">Thông tư số 32/2014/TT-NHNN ngày 18 tháng 11 năm 2014 và </w:t>
      </w:r>
      <w:r w:rsidRPr="00F160DC">
        <w:rPr>
          <w:rFonts w:asciiTheme="minorHAnsi" w:hAnsiTheme="minorHAnsi" w:cstheme="minorHAnsi"/>
          <w:b/>
          <w:bCs/>
          <w:color w:val="000000" w:themeColor="text1"/>
          <w:sz w:val="20"/>
          <w:szCs w:val="20"/>
        </w:rPr>
        <w:br/>
        <w:t>Thông tư số 25/2016/TT-NHNN ngày 29 tháng 7 năm 2016</w:t>
      </w:r>
    </w:p>
    <w:p w14:paraId="59685F51" w14:textId="37AD748E" w:rsidR="00F160DC" w:rsidRPr="00F160DC" w:rsidRDefault="00F160DC" w:rsidP="00F160DC">
      <w:pPr>
        <w:adjustRightInd w:val="0"/>
        <w:snapToGrid w:val="0"/>
        <w:jc w:val="center"/>
        <w:rPr>
          <w:rFonts w:asciiTheme="minorHAnsi" w:hAnsiTheme="minorHAnsi" w:cstheme="minorHAnsi"/>
          <w:color w:val="000000" w:themeColor="text1"/>
          <w:sz w:val="20"/>
          <w:szCs w:val="20"/>
          <w:vertAlign w:val="superscript"/>
          <w:lang w:val="en-GB"/>
        </w:rPr>
      </w:pPr>
      <w:r w:rsidRPr="00F160DC">
        <w:rPr>
          <w:rFonts w:asciiTheme="minorHAnsi" w:hAnsiTheme="minorHAnsi" w:cstheme="minorHAnsi"/>
          <w:color w:val="000000" w:themeColor="text1"/>
          <w:sz w:val="20"/>
          <w:szCs w:val="20"/>
          <w:vertAlign w:val="superscript"/>
          <w:lang w:val="en-GB"/>
        </w:rPr>
        <w:t>_______________________________</w:t>
      </w:r>
    </w:p>
    <w:p w14:paraId="650F1FD8" w14:textId="77777777" w:rsidR="00A11780" w:rsidRDefault="00EE024A" w:rsidP="00F160DC">
      <w:pPr>
        <w:adjustRightInd w:val="0"/>
        <w:snapToGrid w:val="0"/>
        <w:jc w:val="center"/>
        <w:rPr>
          <w:rFonts w:asciiTheme="minorHAnsi" w:hAnsiTheme="minorHAnsi" w:cstheme="minorHAnsi"/>
          <w:b/>
          <w:bCs/>
          <w:color w:val="000000" w:themeColor="text1"/>
          <w:sz w:val="20"/>
          <w:szCs w:val="20"/>
          <w:lang w:val="en-GB"/>
        </w:rPr>
      </w:pPr>
      <w:r w:rsidRPr="00F160DC">
        <w:rPr>
          <w:rFonts w:asciiTheme="minorHAnsi" w:hAnsiTheme="minorHAnsi" w:cstheme="minorHAnsi"/>
          <w:b/>
          <w:bCs/>
          <w:color w:val="000000" w:themeColor="text1"/>
          <w:sz w:val="20"/>
          <w:szCs w:val="20"/>
        </w:rPr>
        <w:t>THỐNG ĐỐC NGÂN HÀNG NHÀ NƯỚC VIỆT NAM</w:t>
      </w:r>
    </w:p>
    <w:p w14:paraId="4A922517" w14:textId="77777777" w:rsidR="00F160DC" w:rsidRPr="00F160DC" w:rsidRDefault="00F160DC" w:rsidP="00F160DC">
      <w:pPr>
        <w:adjustRightInd w:val="0"/>
        <w:snapToGrid w:val="0"/>
        <w:jc w:val="center"/>
        <w:rPr>
          <w:rFonts w:asciiTheme="minorHAnsi" w:hAnsiTheme="minorHAnsi" w:cstheme="minorHAnsi"/>
          <w:color w:val="000000" w:themeColor="text1"/>
          <w:sz w:val="20"/>
          <w:szCs w:val="20"/>
          <w:lang w:val="en-GB"/>
        </w:rPr>
      </w:pPr>
    </w:p>
    <w:p w14:paraId="10458A4C"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Căn cứ Luật Ngân hàng Nhà nước Việt Nam ngày 16 tháng 6 năm 2010;</w:t>
      </w:r>
    </w:p>
    <w:p w14:paraId="56D73D81"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Căn cứ Luật Các tổ chức tín dụng ngày 18 tháng 01 năm 2024;</w:t>
      </w:r>
    </w:p>
    <w:p w14:paraId="1A5F6B09"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 xml:space="preserve">Căn cứ Nghị </w:t>
      </w:r>
      <w:r w:rsidRPr="00F160DC">
        <w:rPr>
          <w:rFonts w:asciiTheme="minorHAnsi" w:hAnsiTheme="minorHAnsi" w:cstheme="minorHAnsi"/>
          <w:i/>
          <w:iCs/>
          <w:color w:val="000000" w:themeColor="text1"/>
          <w:sz w:val="20"/>
          <w:szCs w:val="20"/>
        </w:rPr>
        <w:t>định số 102/2022/NĐ-CP ngày 12 tháng 12 năm 2022 của Chính phủ quy định chức năng, nhiệm vụ, quyền hạn và cơ cấu tổ chức của Ngân hàng Nhà nước Việt Nam;</w:t>
      </w:r>
    </w:p>
    <w:p w14:paraId="599A04B2"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 xml:space="preserve">Căn cứ Nghị quyết số 02/NQ-CP ngày 07 tháng 01 năm 2013 của Chính phủ về một số giải pháp tháo gỡ khó </w:t>
      </w:r>
      <w:r w:rsidRPr="00F160DC">
        <w:rPr>
          <w:rFonts w:asciiTheme="minorHAnsi" w:hAnsiTheme="minorHAnsi" w:cstheme="minorHAnsi"/>
          <w:i/>
          <w:iCs/>
          <w:color w:val="000000" w:themeColor="text1"/>
          <w:sz w:val="20"/>
          <w:szCs w:val="20"/>
        </w:rPr>
        <w:t>khăn cho sản xuất kinh doanh, hỗ trợ thị trường, giải quyết nợ xấu;</w:t>
      </w:r>
    </w:p>
    <w:p w14:paraId="04B304FF"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Căn cứ Nghị quyết số 61/NQ-CP ngày 21 tháng 8 năm 2014 của Chính phủ về việc sửa đổi, bổ sung Nghị quyết số 02/NQ-CP ngày 07 tháng 01 năm 2013 của Chính phủ;</w:t>
      </w:r>
    </w:p>
    <w:p w14:paraId="62D3666D"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Căn cứ Thông tư số 11/2013/TT-</w:t>
      </w:r>
      <w:r w:rsidRPr="00F160DC">
        <w:rPr>
          <w:rFonts w:asciiTheme="minorHAnsi" w:hAnsiTheme="minorHAnsi" w:cstheme="minorHAnsi"/>
          <w:i/>
          <w:iCs/>
          <w:color w:val="000000" w:themeColor="text1"/>
          <w:sz w:val="20"/>
          <w:szCs w:val="20"/>
        </w:rPr>
        <w:t>NHNN ngày 15 tháng 5 năm 2013 của Thống đốc Ngân hàng Nhà nước Việt Nam quy định về cho vay hỗ trợ nhà ở theo Nghị quyết số 02/NQ-CP ngày 07 tháng 01 năm 2013 của Chính phủ;</w:t>
      </w:r>
    </w:p>
    <w:p w14:paraId="630D61DA"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Căn cứ Thông tư số 32/2014/TT-NHNN ngày 18 tháng 11 năm 2014 của Thống đốc Ngân hà</w:t>
      </w:r>
      <w:r w:rsidRPr="00F160DC">
        <w:rPr>
          <w:rFonts w:asciiTheme="minorHAnsi" w:hAnsiTheme="minorHAnsi" w:cstheme="minorHAnsi"/>
          <w:i/>
          <w:iCs/>
          <w:color w:val="000000" w:themeColor="text1"/>
          <w:sz w:val="20"/>
          <w:szCs w:val="20"/>
        </w:rPr>
        <w:t>ng Nhà nước Việt Nam sửa đổi, bổ sung một số điều tại Thông tư số 11/2013/TT-NHNN ngày 15 tháng 5 năm 2013;</w:t>
      </w:r>
    </w:p>
    <w:p w14:paraId="136FC483"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i/>
          <w:iCs/>
          <w:color w:val="000000" w:themeColor="text1"/>
          <w:sz w:val="20"/>
          <w:szCs w:val="20"/>
        </w:rPr>
        <w:t>Căn cứ Thông tư số 25/2016/TT-NHNN ngày 29 tháng 7 năm 2016 của Thống đốc Ngân hàng Nhà nước Việt Nam sửa đổi, bổ sung một số điều tại Thông tư số 1</w:t>
      </w:r>
      <w:r w:rsidRPr="00F160DC">
        <w:rPr>
          <w:rFonts w:asciiTheme="minorHAnsi" w:hAnsiTheme="minorHAnsi" w:cstheme="minorHAnsi"/>
          <w:i/>
          <w:iCs/>
          <w:color w:val="000000" w:themeColor="text1"/>
          <w:sz w:val="20"/>
          <w:szCs w:val="20"/>
        </w:rPr>
        <w:t>1/2013/TT-NHNN ngày 15 tháng 5 năm 2013;</w:t>
      </w:r>
    </w:p>
    <w:p w14:paraId="41D280AD" w14:textId="77777777" w:rsidR="00A11780" w:rsidRDefault="00EE024A" w:rsidP="00F160DC">
      <w:pPr>
        <w:adjustRightInd w:val="0"/>
        <w:snapToGrid w:val="0"/>
        <w:ind w:firstLine="720"/>
        <w:jc w:val="both"/>
        <w:rPr>
          <w:rFonts w:asciiTheme="minorHAnsi" w:hAnsiTheme="minorHAnsi" w:cstheme="minorHAnsi"/>
          <w:i/>
          <w:iCs/>
          <w:color w:val="000000" w:themeColor="text1"/>
          <w:sz w:val="20"/>
          <w:szCs w:val="20"/>
          <w:lang w:val="en-GB"/>
        </w:rPr>
      </w:pPr>
      <w:r w:rsidRPr="00F160DC">
        <w:rPr>
          <w:rFonts w:asciiTheme="minorHAnsi" w:hAnsiTheme="minorHAnsi" w:cstheme="minorHAnsi"/>
          <w:i/>
          <w:iCs/>
          <w:color w:val="000000" w:themeColor="text1"/>
          <w:sz w:val="20"/>
          <w:szCs w:val="20"/>
        </w:rPr>
        <w:t>Theo đề nghị của Vụ trưởng Vụ Chính sách tiền tệ.</w:t>
      </w:r>
    </w:p>
    <w:p w14:paraId="69BF48AB" w14:textId="77777777" w:rsidR="00F160DC" w:rsidRPr="00F160DC" w:rsidRDefault="00F160DC" w:rsidP="00F160DC">
      <w:pPr>
        <w:adjustRightInd w:val="0"/>
        <w:snapToGrid w:val="0"/>
        <w:rPr>
          <w:rFonts w:asciiTheme="minorHAnsi" w:hAnsiTheme="minorHAnsi" w:cstheme="minorHAnsi"/>
          <w:color w:val="000000" w:themeColor="text1"/>
          <w:sz w:val="20"/>
          <w:szCs w:val="20"/>
          <w:lang w:val="en-GB"/>
        </w:rPr>
      </w:pPr>
    </w:p>
    <w:p w14:paraId="439F3155" w14:textId="77777777" w:rsidR="00A11780" w:rsidRDefault="00EE024A" w:rsidP="00F160DC">
      <w:pPr>
        <w:adjustRightInd w:val="0"/>
        <w:snapToGrid w:val="0"/>
        <w:jc w:val="center"/>
        <w:rPr>
          <w:rFonts w:asciiTheme="minorHAnsi" w:hAnsiTheme="minorHAnsi" w:cstheme="minorHAnsi"/>
          <w:b/>
          <w:bCs/>
          <w:color w:val="000000" w:themeColor="text1"/>
          <w:sz w:val="20"/>
          <w:szCs w:val="20"/>
          <w:lang w:val="en-GB"/>
        </w:rPr>
      </w:pPr>
      <w:r w:rsidRPr="00F160DC">
        <w:rPr>
          <w:rFonts w:asciiTheme="minorHAnsi" w:hAnsiTheme="minorHAnsi" w:cstheme="minorHAnsi"/>
          <w:b/>
          <w:bCs/>
          <w:color w:val="000000" w:themeColor="text1"/>
          <w:sz w:val="20"/>
          <w:szCs w:val="20"/>
        </w:rPr>
        <w:t>QUYẾT ĐỊNH:</w:t>
      </w:r>
    </w:p>
    <w:p w14:paraId="28B226ED" w14:textId="77777777" w:rsidR="00F160DC" w:rsidRPr="00F160DC" w:rsidRDefault="00F160DC" w:rsidP="00F160DC">
      <w:pPr>
        <w:adjustRightInd w:val="0"/>
        <w:snapToGrid w:val="0"/>
        <w:jc w:val="center"/>
        <w:rPr>
          <w:rFonts w:asciiTheme="minorHAnsi" w:hAnsiTheme="minorHAnsi" w:cstheme="minorHAnsi"/>
          <w:color w:val="000000" w:themeColor="text1"/>
          <w:sz w:val="20"/>
          <w:szCs w:val="20"/>
          <w:lang w:val="en-GB"/>
        </w:rPr>
      </w:pPr>
    </w:p>
    <w:p w14:paraId="4D346477"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b/>
          <w:bCs/>
          <w:color w:val="000000" w:themeColor="text1"/>
          <w:sz w:val="20"/>
          <w:szCs w:val="20"/>
        </w:rPr>
        <w:t>Điều 1.</w:t>
      </w:r>
      <w:r w:rsidRPr="00F160DC">
        <w:rPr>
          <w:rFonts w:asciiTheme="minorHAnsi" w:hAnsiTheme="minorHAnsi" w:cstheme="minorHAnsi"/>
          <w:color w:val="000000" w:themeColor="text1"/>
          <w:sz w:val="20"/>
          <w:szCs w:val="20"/>
        </w:rPr>
        <w:t xml:space="preserve"> Mức lãi suất của các ngân hàng thương mại áp dụng trong năm 2025 đối với dư nợ của các khoản cho vay hỗ trợ nhà ở theo quy định tại Thông tư số 11/2013/TT-NHNN ngày 15 tháng 5 năm 2013, Thông tư số 32/2014/TT-NHNN ngày 18 tháng 11 năm 2014 và Thông tư số </w:t>
      </w:r>
      <w:r w:rsidRPr="00F160DC">
        <w:rPr>
          <w:rFonts w:asciiTheme="minorHAnsi" w:hAnsiTheme="minorHAnsi" w:cstheme="minorHAnsi"/>
          <w:color w:val="000000" w:themeColor="text1"/>
          <w:sz w:val="20"/>
          <w:szCs w:val="20"/>
        </w:rPr>
        <w:t>25/2016/TT-NHNN ngày 29 tháng 7 năm 2016 là 4,7%/năm.</w:t>
      </w:r>
    </w:p>
    <w:p w14:paraId="6DFF1A38"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b/>
          <w:bCs/>
          <w:color w:val="000000" w:themeColor="text1"/>
          <w:sz w:val="20"/>
          <w:szCs w:val="20"/>
        </w:rPr>
        <w:t>Điều 2.</w:t>
      </w:r>
      <w:r w:rsidRPr="00F160DC">
        <w:rPr>
          <w:rFonts w:asciiTheme="minorHAnsi" w:hAnsiTheme="minorHAnsi" w:cstheme="minorHAnsi"/>
          <w:color w:val="000000" w:themeColor="text1"/>
          <w:sz w:val="20"/>
          <w:szCs w:val="20"/>
        </w:rPr>
        <w:t xml:space="preserve"> Quyết định này có hiệu lực thi hành kể từ ngày 01 tháng 01 năm 2025 và thay thế Quyết định số 2303/QĐ-NHNN ngày 11 tháng 12 năm 2023 của Thống đốc Ngân hàng Nhà nước Việt Nam về mức lãi suất của</w:t>
      </w:r>
      <w:r w:rsidRPr="00F160DC">
        <w:rPr>
          <w:rFonts w:asciiTheme="minorHAnsi" w:hAnsiTheme="minorHAnsi" w:cstheme="minorHAnsi"/>
          <w:color w:val="000000" w:themeColor="text1"/>
          <w:sz w:val="20"/>
          <w:szCs w:val="20"/>
        </w:rPr>
        <w:t xml:space="preserve"> các ngân hàng thương mại áp dụng trong năm 2024 đối với dư nợ của các khoản cho vay hỗ trợ nhà ở theo quy định tại Thông tư số 11/2013/TT-NHNN ngày 15 tháng 5 năm 2013, Thông tư số 32/2014/TT-NHNN ngày 18 tháng 11 năm 2014 và Thông tư số 25/2016/TT-NHNN n</w:t>
      </w:r>
      <w:r w:rsidRPr="00F160DC">
        <w:rPr>
          <w:rFonts w:asciiTheme="minorHAnsi" w:hAnsiTheme="minorHAnsi" w:cstheme="minorHAnsi"/>
          <w:color w:val="000000" w:themeColor="text1"/>
          <w:sz w:val="20"/>
          <w:szCs w:val="20"/>
        </w:rPr>
        <w:t>gày 29 tháng 7 năm 2016.</w:t>
      </w:r>
    </w:p>
    <w:p w14:paraId="6E9DD33F" w14:textId="77777777" w:rsidR="00A11780" w:rsidRPr="00F160DC" w:rsidRDefault="00EE024A" w:rsidP="00F160DC">
      <w:pPr>
        <w:adjustRightInd w:val="0"/>
        <w:snapToGrid w:val="0"/>
        <w:ind w:firstLine="720"/>
        <w:jc w:val="both"/>
        <w:rPr>
          <w:rFonts w:asciiTheme="minorHAnsi" w:hAnsiTheme="minorHAnsi" w:cstheme="minorHAnsi"/>
          <w:color w:val="000000" w:themeColor="text1"/>
          <w:sz w:val="20"/>
          <w:szCs w:val="20"/>
        </w:rPr>
      </w:pPr>
      <w:r w:rsidRPr="00F160DC">
        <w:rPr>
          <w:rFonts w:asciiTheme="minorHAnsi" w:hAnsiTheme="minorHAnsi" w:cstheme="minorHAnsi"/>
          <w:b/>
          <w:bCs/>
          <w:color w:val="000000" w:themeColor="text1"/>
          <w:sz w:val="20"/>
          <w:szCs w:val="20"/>
        </w:rPr>
        <w:t>Điều 3.</w:t>
      </w:r>
      <w:r w:rsidRPr="00F160DC">
        <w:rPr>
          <w:rFonts w:asciiTheme="minorHAnsi" w:hAnsiTheme="minorHAnsi" w:cstheme="minorHAnsi"/>
          <w:color w:val="000000" w:themeColor="text1"/>
          <w:sz w:val="20"/>
          <w:szCs w:val="20"/>
        </w:rPr>
        <w:t xml:space="preserve"> Chánh Văn phòng, Vụ trưởng Vụ Chính sách tiền tệ và Thủ trưởng các đơn vị thuộc Ngân hàng Nhà nước Việt Nam, ngân hàng thương mại cho vay hỗ trợ nhà ở chịu trách nhiệm tổ chức thi hành Quyết định này./.</w:t>
      </w:r>
    </w:p>
    <w:p w14:paraId="37BE104C" w14:textId="77777777" w:rsidR="00A11780" w:rsidRPr="00F160DC" w:rsidRDefault="00EE024A" w:rsidP="00F160DC">
      <w:pPr>
        <w:adjustRightInd w:val="0"/>
        <w:snapToGrid w:val="0"/>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F160DC" w:rsidRPr="00F160DC" w14:paraId="268C0C4E" w14:textId="77777777" w:rsidTr="00F160D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16F4D2D" w14:textId="69B329B7" w:rsidR="00A11780" w:rsidRPr="00F160DC" w:rsidRDefault="00EE024A" w:rsidP="00F160DC">
            <w:pPr>
              <w:adjustRightInd w:val="0"/>
              <w:snapToGrid w:val="0"/>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 </w:t>
            </w:r>
            <w:r w:rsidRPr="00F160DC">
              <w:rPr>
                <w:rFonts w:asciiTheme="minorHAnsi" w:hAnsiTheme="minorHAnsi" w:cstheme="minorHAnsi"/>
                <w:b/>
                <w:bCs/>
                <w:i/>
                <w:iCs/>
                <w:color w:val="000000" w:themeColor="text1"/>
                <w:sz w:val="20"/>
                <w:szCs w:val="20"/>
              </w:rPr>
              <w:t>Nơi nhận:</w:t>
            </w:r>
            <w:r w:rsidRPr="00F160DC">
              <w:rPr>
                <w:rFonts w:asciiTheme="minorHAnsi" w:hAnsiTheme="minorHAnsi" w:cstheme="minorHAnsi"/>
                <w:b/>
                <w:bCs/>
                <w:i/>
                <w:iCs/>
                <w:color w:val="000000" w:themeColor="text1"/>
                <w:sz w:val="20"/>
                <w:szCs w:val="20"/>
              </w:rPr>
              <w:br/>
            </w:r>
            <w:r w:rsidRPr="00F160DC">
              <w:rPr>
                <w:rFonts w:asciiTheme="minorHAnsi" w:hAnsiTheme="minorHAnsi" w:cstheme="minorHAnsi"/>
                <w:color w:val="000000" w:themeColor="text1"/>
                <w:sz w:val="20"/>
                <w:szCs w:val="20"/>
              </w:rPr>
              <w:t xml:space="preserve">- Như </w:t>
            </w:r>
            <w:r w:rsidRPr="00F160DC">
              <w:rPr>
                <w:rFonts w:asciiTheme="minorHAnsi" w:hAnsiTheme="minorHAnsi" w:cstheme="minorHAnsi"/>
                <w:color w:val="000000" w:themeColor="text1"/>
                <w:sz w:val="20"/>
                <w:szCs w:val="20"/>
              </w:rPr>
              <w:t>Điều 3;</w:t>
            </w:r>
            <w:r w:rsidRPr="00F160DC">
              <w:rPr>
                <w:rFonts w:asciiTheme="minorHAnsi" w:hAnsiTheme="minorHAnsi" w:cstheme="minorHAnsi"/>
                <w:color w:val="000000" w:themeColor="text1"/>
                <w:sz w:val="20"/>
                <w:szCs w:val="20"/>
              </w:rPr>
              <w:br/>
              <w:t>- Ban lãnh đạo NHNN;</w:t>
            </w:r>
            <w:r w:rsidRPr="00F160DC">
              <w:rPr>
                <w:rFonts w:asciiTheme="minorHAnsi" w:hAnsiTheme="minorHAnsi" w:cstheme="minorHAnsi"/>
                <w:color w:val="000000" w:themeColor="text1"/>
                <w:sz w:val="20"/>
                <w:szCs w:val="20"/>
              </w:rPr>
              <w:br/>
              <w:t>- Lưu: VP, Vụ CSTT (N.T.H.Loan).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5F080D9" w14:textId="77777777" w:rsidR="00A11780" w:rsidRPr="00F160DC" w:rsidRDefault="00EE024A" w:rsidP="00F160DC">
            <w:pPr>
              <w:adjustRightInd w:val="0"/>
              <w:snapToGrid w:val="0"/>
              <w:jc w:val="center"/>
              <w:rPr>
                <w:rFonts w:asciiTheme="minorHAnsi" w:hAnsiTheme="minorHAnsi" w:cstheme="minorHAnsi"/>
                <w:color w:val="000000" w:themeColor="text1"/>
                <w:sz w:val="20"/>
                <w:szCs w:val="20"/>
              </w:rPr>
            </w:pPr>
            <w:r w:rsidRPr="00F160DC">
              <w:rPr>
                <w:rFonts w:asciiTheme="minorHAnsi" w:hAnsiTheme="minorHAnsi" w:cstheme="minorHAnsi"/>
                <w:b/>
                <w:bCs/>
                <w:color w:val="000000" w:themeColor="text1"/>
                <w:sz w:val="20"/>
                <w:szCs w:val="20"/>
              </w:rPr>
              <w:t>KT. THỐNG ĐỐC</w:t>
            </w:r>
            <w:r w:rsidRPr="00F160DC">
              <w:rPr>
                <w:rFonts w:asciiTheme="minorHAnsi" w:hAnsiTheme="minorHAnsi" w:cstheme="minorHAnsi"/>
                <w:b/>
                <w:bCs/>
                <w:color w:val="000000" w:themeColor="text1"/>
                <w:sz w:val="20"/>
                <w:szCs w:val="20"/>
              </w:rPr>
              <w:br/>
              <w:t>PHÓ THỐNG ĐỐC</w:t>
            </w:r>
            <w:r w:rsidRPr="00F160DC">
              <w:rPr>
                <w:rFonts w:asciiTheme="minorHAnsi" w:hAnsiTheme="minorHAnsi" w:cstheme="minorHAnsi"/>
                <w:b/>
                <w:bCs/>
                <w:color w:val="000000" w:themeColor="text1"/>
                <w:sz w:val="20"/>
                <w:szCs w:val="20"/>
              </w:rPr>
              <w:br/>
            </w:r>
            <w:r w:rsidRPr="00F160DC">
              <w:rPr>
                <w:rFonts w:asciiTheme="minorHAnsi" w:hAnsiTheme="minorHAnsi" w:cstheme="minorHAnsi"/>
                <w:b/>
                <w:bCs/>
                <w:color w:val="000000" w:themeColor="text1"/>
                <w:sz w:val="20"/>
                <w:szCs w:val="20"/>
              </w:rPr>
              <w:br/>
            </w:r>
            <w:r w:rsidRPr="00F160DC">
              <w:rPr>
                <w:rFonts w:asciiTheme="minorHAnsi" w:hAnsiTheme="minorHAnsi" w:cstheme="minorHAnsi"/>
                <w:b/>
                <w:bCs/>
                <w:color w:val="000000" w:themeColor="text1"/>
                <w:sz w:val="20"/>
                <w:szCs w:val="20"/>
              </w:rPr>
              <w:br/>
            </w:r>
            <w:r w:rsidRPr="00F160DC">
              <w:rPr>
                <w:rFonts w:asciiTheme="minorHAnsi" w:hAnsiTheme="minorHAnsi" w:cstheme="minorHAnsi"/>
                <w:b/>
                <w:bCs/>
                <w:color w:val="000000" w:themeColor="text1"/>
                <w:sz w:val="20"/>
                <w:szCs w:val="20"/>
              </w:rPr>
              <w:br/>
            </w:r>
            <w:r w:rsidRPr="00F160DC">
              <w:rPr>
                <w:rFonts w:asciiTheme="minorHAnsi" w:hAnsiTheme="minorHAnsi" w:cstheme="minorHAnsi"/>
                <w:b/>
                <w:bCs/>
                <w:color w:val="000000" w:themeColor="text1"/>
                <w:sz w:val="20"/>
                <w:szCs w:val="20"/>
              </w:rPr>
              <w:lastRenderedPageBreak/>
              <w:br/>
              <w:t>Phạm Thanh Hà</w:t>
            </w:r>
          </w:p>
        </w:tc>
      </w:tr>
    </w:tbl>
    <w:p w14:paraId="65C0CF65" w14:textId="77777777" w:rsidR="00A11780" w:rsidRPr="00F160DC" w:rsidRDefault="00EE024A" w:rsidP="00F160DC">
      <w:pPr>
        <w:adjustRightInd w:val="0"/>
        <w:snapToGrid w:val="0"/>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lastRenderedPageBreak/>
        <w:t> </w:t>
      </w:r>
    </w:p>
    <w:p w14:paraId="19543703" w14:textId="77777777" w:rsidR="00F160DC" w:rsidRDefault="00F160DC" w:rsidP="00F160DC">
      <w:pPr>
        <w:adjustRightInd w:val="0"/>
        <w:snapToGrid w:val="0"/>
        <w:jc w:val="center"/>
        <w:rPr>
          <w:rFonts w:asciiTheme="minorHAnsi" w:hAnsiTheme="minorHAnsi" w:cstheme="minorHAnsi"/>
          <w:b/>
          <w:bCs/>
          <w:color w:val="000000" w:themeColor="text1"/>
          <w:sz w:val="20"/>
          <w:szCs w:val="20"/>
        </w:rPr>
        <w:sectPr w:rsidR="00F160DC" w:rsidSect="00F160DC">
          <w:pgSz w:w="11906" w:h="16838" w:code="9"/>
          <w:pgMar w:top="1440" w:right="1440" w:bottom="1440" w:left="1440" w:header="720" w:footer="720" w:gutter="0"/>
          <w:cols w:space="720"/>
          <w:docGrid w:linePitch="326"/>
        </w:sectPr>
      </w:pPr>
    </w:p>
    <w:p w14:paraId="4D2DC072" w14:textId="61D6FAF6" w:rsidR="00A11780" w:rsidRPr="00F160DC" w:rsidRDefault="00EE024A" w:rsidP="00F160DC">
      <w:pPr>
        <w:adjustRightInd w:val="0"/>
        <w:snapToGrid w:val="0"/>
        <w:jc w:val="center"/>
        <w:rPr>
          <w:rFonts w:asciiTheme="minorHAnsi" w:hAnsiTheme="minorHAnsi" w:cstheme="minorHAnsi"/>
          <w:b/>
          <w:bCs/>
          <w:color w:val="000000" w:themeColor="text1"/>
          <w:sz w:val="20"/>
          <w:szCs w:val="20"/>
        </w:rPr>
      </w:pPr>
      <w:r w:rsidRPr="00F160DC">
        <w:rPr>
          <w:rFonts w:asciiTheme="minorHAnsi" w:hAnsiTheme="minorHAnsi" w:cstheme="minorHAnsi"/>
          <w:b/>
          <w:bCs/>
          <w:color w:val="000000" w:themeColor="text1"/>
          <w:sz w:val="20"/>
          <w:szCs w:val="20"/>
        </w:rPr>
        <w:lastRenderedPageBreak/>
        <w:t xml:space="preserve">PHỤ LỤC: DANH SÁCH CÁC NHTM CÓ DƯ NỢ VAY TÁI CẤP VỐN THỰC HIỆN </w:t>
      </w:r>
      <w:r w:rsidR="00F160DC">
        <w:rPr>
          <w:rFonts w:asciiTheme="minorHAnsi" w:hAnsiTheme="minorHAnsi" w:cstheme="minorHAnsi"/>
          <w:b/>
          <w:bCs/>
          <w:color w:val="000000" w:themeColor="text1"/>
          <w:sz w:val="20"/>
          <w:szCs w:val="20"/>
          <w:lang w:val="en-GB"/>
        </w:rPr>
        <w:br/>
      </w:r>
      <w:r w:rsidRPr="00F160DC">
        <w:rPr>
          <w:rFonts w:asciiTheme="minorHAnsi" w:hAnsiTheme="minorHAnsi" w:cstheme="minorHAnsi"/>
          <w:b/>
          <w:bCs/>
          <w:color w:val="000000" w:themeColor="text1"/>
          <w:sz w:val="20"/>
          <w:szCs w:val="20"/>
        </w:rPr>
        <w:t>CHO VAY HỖ TRỢ NHÀ Ở THEO NGHỊ QUYẾT 02/NQ-CP</w:t>
      </w:r>
    </w:p>
    <w:p w14:paraId="7BFCA132" w14:textId="77777777" w:rsidR="00F160DC" w:rsidRPr="00F160DC" w:rsidRDefault="00F160DC" w:rsidP="00F160DC">
      <w:pPr>
        <w:adjustRightInd w:val="0"/>
        <w:snapToGrid w:val="0"/>
        <w:jc w:val="center"/>
        <w:rPr>
          <w:rFonts w:asciiTheme="minorHAnsi" w:hAnsiTheme="minorHAnsi" w:cstheme="minorHAnsi"/>
          <w:color w:val="000000" w:themeColor="text1"/>
          <w:sz w:val="20"/>
          <w:szCs w:val="20"/>
        </w:rPr>
      </w:pPr>
    </w:p>
    <w:p w14:paraId="6F3CA4D6"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 Ngân hàng TMCP Đầu</w:t>
      </w:r>
      <w:r w:rsidRPr="00F160DC">
        <w:rPr>
          <w:rFonts w:asciiTheme="minorHAnsi" w:hAnsiTheme="minorHAnsi" w:cstheme="minorHAnsi"/>
          <w:color w:val="000000" w:themeColor="text1"/>
          <w:sz w:val="20"/>
          <w:szCs w:val="20"/>
        </w:rPr>
        <w:t xml:space="preserve"> tư và Phát triển Việt Nam</w:t>
      </w:r>
    </w:p>
    <w:p w14:paraId="048C9444"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2. Ngân hàng TMCP Ngoại thương Việt Nam</w:t>
      </w:r>
    </w:p>
    <w:p w14:paraId="2020A52F"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3. Ngân hàng TMCP Công thương Việt Nam</w:t>
      </w:r>
    </w:p>
    <w:p w14:paraId="1F6DC38F"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4. Ngân hàng Nông nghiệp và Phát triển nông thôn Việt Nam</w:t>
      </w:r>
    </w:p>
    <w:p w14:paraId="50F4035D"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5. Ngân hàng TMCP Sài Gòn - Hà Nội</w:t>
      </w:r>
    </w:p>
    <w:p w14:paraId="3C31EC63"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6. Ngân hàng TMCP Đông Nam Á</w:t>
      </w:r>
    </w:p>
    <w:p w14:paraId="6246777E"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7. Ngân hàng TMCP Tiên Phong</w:t>
      </w:r>
    </w:p>
    <w:p w14:paraId="4462FB55"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8. Ngân hàng TMCP Xuất nhập khẩu Việt Nam</w:t>
      </w:r>
    </w:p>
    <w:p w14:paraId="2450CE90"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9. Ngân hàng TMCP Đại Chúng</w:t>
      </w:r>
    </w:p>
    <w:p w14:paraId="4B112641"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10. Ngân hàng TMCP Phương Đông</w:t>
      </w:r>
    </w:p>
    <w:p w14:paraId="6BF57170"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11. Ngân hàng TMCP Nam Á</w:t>
      </w:r>
    </w:p>
    <w:p w14:paraId="420DD01F"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12. Ngân hàng TMCP Bưu điện Liên Việt</w:t>
      </w:r>
    </w:p>
    <w:p w14:paraId="26F6079C"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13. Ngân hàng TMCP Việt Nam Thương Tín</w:t>
      </w:r>
    </w:p>
    <w:p w14:paraId="478EB70D"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14. Ngân hàng TMCP Quốc dân</w:t>
      </w:r>
    </w:p>
    <w:p w14:paraId="49113D39"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 xml:space="preserve">15. Ngân hàng TMCP Quốc </w:t>
      </w:r>
      <w:r w:rsidRPr="00F160DC">
        <w:rPr>
          <w:rFonts w:asciiTheme="minorHAnsi" w:hAnsiTheme="minorHAnsi" w:cstheme="minorHAnsi"/>
          <w:color w:val="000000" w:themeColor="text1"/>
          <w:sz w:val="20"/>
          <w:szCs w:val="20"/>
        </w:rPr>
        <w:t>tế</w:t>
      </w:r>
    </w:p>
    <w:p w14:paraId="356682D5" w14:textId="77777777" w:rsidR="00A11780"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16. Ngân hàng TMCP Việt Nam Thịnh Vượng</w:t>
      </w:r>
    </w:p>
    <w:p w14:paraId="38B5F807" w14:textId="77777777" w:rsidR="00611044" w:rsidRPr="00F160DC" w:rsidRDefault="00EE024A" w:rsidP="00F160DC">
      <w:pPr>
        <w:adjustRightInd w:val="0"/>
        <w:snapToGrid w:val="0"/>
        <w:spacing w:after="120"/>
        <w:ind w:firstLine="720"/>
        <w:jc w:val="both"/>
        <w:rPr>
          <w:rFonts w:asciiTheme="minorHAnsi" w:hAnsiTheme="minorHAnsi" w:cstheme="minorHAnsi"/>
          <w:color w:val="000000" w:themeColor="text1"/>
          <w:sz w:val="20"/>
          <w:szCs w:val="20"/>
        </w:rPr>
      </w:pPr>
      <w:r w:rsidRPr="00F160DC">
        <w:rPr>
          <w:rFonts w:asciiTheme="minorHAnsi" w:hAnsiTheme="minorHAnsi" w:cstheme="minorHAnsi"/>
          <w:color w:val="000000" w:themeColor="text1"/>
          <w:sz w:val="20"/>
          <w:szCs w:val="20"/>
        </w:rPr>
        <w:t>17. Ngân hàng TMCP Sài Gòn./.</w:t>
      </w:r>
    </w:p>
    <w:sectPr w:rsidR="00611044" w:rsidRPr="00F160DC" w:rsidSect="00F160DC">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CA"/>
    <w:rsid w:val="004266CA"/>
    <w:rsid w:val="00611044"/>
    <w:rsid w:val="00A11780"/>
    <w:rsid w:val="00D73CBC"/>
    <w:rsid w:val="00EE024A"/>
    <w:rsid w:val="00F160DC"/>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8E43A"/>
  <w15:chartTrackingRefBased/>
  <w15:docId w15:val="{66E6E449-A21B-4E22-B417-921E4DB7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PC</cp:lastModifiedBy>
  <cp:revision>2</cp:revision>
  <cp:lastPrinted>1899-12-31T17:00:00Z</cp:lastPrinted>
  <dcterms:created xsi:type="dcterms:W3CDTF">2024-12-20T10:01:00Z</dcterms:created>
  <dcterms:modified xsi:type="dcterms:W3CDTF">2024-12-20T10:01:00Z</dcterms:modified>
</cp:coreProperties>
</file>