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7179" w14:textId="4B2CC70D" w:rsidR="00C5619A" w:rsidRDefault="00C5619A" w:rsidP="00C5619A">
      <w:pPr>
        <w:jc w:val="center"/>
        <w:rPr>
          <w:b/>
          <w:bCs/>
        </w:rPr>
      </w:pPr>
      <w:proofErr w:type="spellStart"/>
      <w:r w:rsidRPr="00C5619A">
        <w:rPr>
          <w:b/>
          <w:bCs/>
        </w:rPr>
        <w:t>Bảng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giá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trị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của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ở, </w:t>
      </w:r>
      <w:proofErr w:type="spellStart"/>
      <w:r w:rsidRPr="00C5619A">
        <w:rPr>
          <w:b/>
          <w:bCs/>
        </w:rPr>
        <w:t>công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trình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xây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dựng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mồ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mả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và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vật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kiến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trúc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xây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mới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tỉnh</w:t>
      </w:r>
      <w:proofErr w:type="spellEnd"/>
      <w:r w:rsidRPr="00C5619A">
        <w:rPr>
          <w:b/>
          <w:bCs/>
        </w:rPr>
        <w:t xml:space="preserve"> Bắc Ninh</w:t>
      </w:r>
    </w:p>
    <w:p w14:paraId="2EEF2BB8" w14:textId="77777777" w:rsidR="00C5619A" w:rsidRPr="00C5619A" w:rsidRDefault="00C5619A" w:rsidP="00C5619A">
      <w:pPr>
        <w:jc w:val="center"/>
        <w:rPr>
          <w:b/>
          <w:bCs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532"/>
        <w:gridCol w:w="3532"/>
        <w:gridCol w:w="478"/>
        <w:gridCol w:w="1317"/>
      </w:tblGrid>
      <w:tr w:rsidR="00C5619A" w:rsidRPr="00C5619A" w14:paraId="30ECA5DD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CA4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STT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CD47C2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11A3" w14:textId="6D8FC6DF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cửa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kiến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trúc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8B5B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Đơn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vị</w:t>
            </w:r>
            <w:proofErr w:type="spellEnd"/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068A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Đơn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giá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đồng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</w:tr>
      <w:tr w:rsidR="00C5619A" w:rsidRPr="00C5619A" w14:paraId="1A3853CA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DEF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E59346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53E4" w14:textId="4146A2EF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F5D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392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6.698.000</w:t>
            </w:r>
          </w:p>
        </w:tc>
      </w:tr>
      <w:tr w:rsidR="00C5619A" w:rsidRPr="00C5619A" w14:paraId="7BB875CC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3A9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E73E10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3E6C" w14:textId="7B4FC635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A7A7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733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5.397.000</w:t>
            </w:r>
          </w:p>
        </w:tc>
      </w:tr>
      <w:tr w:rsidR="00C5619A" w:rsidRPr="00C5619A" w14:paraId="016ECFFF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0B5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7DA1070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0385" w14:textId="7E8CBA75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CE3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306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4.987.000</w:t>
            </w:r>
          </w:p>
        </w:tc>
      </w:tr>
      <w:tr w:rsidR="00C5619A" w:rsidRPr="00C5619A" w14:paraId="1E0C3959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098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2D3AC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74F6" w14:textId="03B5954C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E7A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EC5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5.675.000</w:t>
            </w:r>
          </w:p>
        </w:tc>
      </w:tr>
      <w:tr w:rsidR="00C5619A" w:rsidRPr="00C5619A" w14:paraId="6D34DB1D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E07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0EB836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82CD" w14:textId="2A34F103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E94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58D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5.159.000</w:t>
            </w:r>
          </w:p>
        </w:tc>
      </w:tr>
      <w:tr w:rsidR="00C5619A" w:rsidRPr="00C5619A" w14:paraId="60E2D9B8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CB6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6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2E3BF1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804B" w14:textId="6BBDCB54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6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8E77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678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4.728.000</w:t>
            </w:r>
          </w:p>
        </w:tc>
      </w:tr>
      <w:tr w:rsidR="00C5619A" w:rsidRPr="00C5619A" w14:paraId="49888DED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757B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7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2B47E7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C239" w14:textId="67BE7214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7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EE2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57B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4.531.000</w:t>
            </w:r>
          </w:p>
        </w:tc>
      </w:tr>
      <w:tr w:rsidR="00C5619A" w:rsidRPr="00C5619A" w14:paraId="1E341160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886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8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16A514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B6F3" w14:textId="67722C34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8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78D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E36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4.111.000</w:t>
            </w:r>
          </w:p>
        </w:tc>
      </w:tr>
      <w:tr w:rsidR="00C5619A" w:rsidRPr="00C5619A" w14:paraId="6BE86A79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637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9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BBCC5B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CDE3" w14:textId="59C7B01A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9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53A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435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4.715.000</w:t>
            </w:r>
          </w:p>
        </w:tc>
      </w:tr>
      <w:tr w:rsidR="00C5619A" w:rsidRPr="00C5619A" w14:paraId="45215F84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63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10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C98FC5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BE5E" w14:textId="2B9BA304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III,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10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21A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915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3.929.000</w:t>
            </w:r>
          </w:p>
        </w:tc>
      </w:tr>
      <w:tr w:rsidR="00C5619A" w:rsidRPr="00C5619A" w14:paraId="7625BCA3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2B8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A7B3377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05C8" w14:textId="2B9D3EB3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IV,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896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BDD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4.308.000</w:t>
            </w:r>
          </w:p>
        </w:tc>
      </w:tr>
      <w:tr w:rsidR="00C5619A" w:rsidRPr="00C5619A" w14:paraId="5739B695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9E8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F2B24F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1DF8" w14:textId="73723F48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IV,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A224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F9E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3.815.000</w:t>
            </w:r>
          </w:p>
        </w:tc>
      </w:tr>
      <w:tr w:rsidR="00C5619A" w:rsidRPr="00C5619A" w14:paraId="5CE7A740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5DA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29C2C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9C3F" w14:textId="79AF2BA1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IV,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E8C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674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3.244.000</w:t>
            </w:r>
          </w:p>
        </w:tc>
      </w:tr>
      <w:tr w:rsidR="00C5619A" w:rsidRPr="00C5619A" w14:paraId="2A4D2CF8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178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E325D7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17EA" w14:textId="6D21A135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IV,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5A9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A3A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3.112.000</w:t>
            </w:r>
          </w:p>
        </w:tc>
      </w:tr>
      <w:tr w:rsidR="00C5619A" w:rsidRPr="00C5619A" w14:paraId="229EFAE9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E90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15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D4C28E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AD11" w14:textId="2D37CD89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IV,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5FF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153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2.399.000</w:t>
            </w:r>
          </w:p>
        </w:tc>
      </w:tr>
      <w:tr w:rsidR="00C5619A" w:rsidRPr="00C5619A" w14:paraId="5B15CAE6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6FE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16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729674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8753" w14:textId="0D38ADDC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biệt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thự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3A8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B39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7.913.000</w:t>
            </w:r>
          </w:p>
        </w:tc>
      </w:tr>
      <w:tr w:rsidR="00C5619A" w:rsidRPr="00C5619A" w14:paraId="7F51EA2A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BCF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17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E17E9C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EACF" w14:textId="1102CF90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EA54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7E4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1.760.000</w:t>
            </w:r>
          </w:p>
        </w:tc>
      </w:tr>
      <w:tr w:rsidR="00C5619A" w:rsidRPr="00C5619A" w14:paraId="13577BB2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49F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18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422FE7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5F9E" w14:textId="6CC30275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phốt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0BA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356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2.029.000</w:t>
            </w:r>
          </w:p>
        </w:tc>
      </w:tr>
      <w:tr w:rsidR="00C5619A" w:rsidRPr="00C5619A" w14:paraId="4C46ACF3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0AA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19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1BBB6F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3182" w14:textId="56346BE3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Giếng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khoan</w:t>
            </w:r>
            <w:proofErr w:type="spellEnd"/>
            <w:r w:rsidRPr="00C5619A">
              <w:rPr>
                <w:b/>
                <w:bCs/>
              </w:rPr>
              <w:t xml:space="preserve"> D42 - 49mm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32B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DB24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187.000</w:t>
            </w:r>
          </w:p>
        </w:tc>
      </w:tr>
      <w:tr w:rsidR="00C5619A" w:rsidRPr="00C5619A" w14:paraId="2B182CBB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BAF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20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06DDA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B97F" w14:textId="26F24E3E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Giếng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đào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cuốn</w:t>
            </w:r>
            <w:proofErr w:type="spellEnd"/>
            <w:r w:rsidRPr="00C5619A">
              <w:rPr>
                <w:b/>
                <w:bCs/>
              </w:rPr>
              <w:t xml:space="preserve"> D800-1000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FFF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CE3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644.000</w:t>
            </w:r>
          </w:p>
        </w:tc>
      </w:tr>
      <w:tr w:rsidR="00C5619A" w:rsidRPr="00C5619A" w14:paraId="3B6AD686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D03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2F3527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6085" w14:textId="6373090D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vẩy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thường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đã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khung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962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F73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497.000</w:t>
            </w:r>
          </w:p>
        </w:tc>
      </w:tr>
      <w:tr w:rsidR="00C5619A" w:rsidRPr="00C5619A" w14:paraId="71090A82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93C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D72100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A6AB" w14:textId="6116F58E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vẩy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xốp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nhiệt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đã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khung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4B26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F4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585.000</w:t>
            </w:r>
          </w:p>
        </w:tc>
      </w:tr>
      <w:tr w:rsidR="00C5619A" w:rsidRPr="00C5619A" w14:paraId="5D596D07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190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lastRenderedPageBreak/>
              <w:t>23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C42318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3E44" w14:textId="0019E3BB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Lều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quán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tre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gỗ</w:t>
            </w:r>
            <w:proofErr w:type="spellEnd"/>
            <w:r w:rsidRPr="00C5619A">
              <w:rPr>
                <w:b/>
                <w:bCs/>
              </w:rPr>
              <w:t xml:space="preserve">),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rẻ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tiền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tấm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nhựa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tấm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Fibrô</w:t>
            </w:r>
            <w:proofErr w:type="spellEnd"/>
            <w:r w:rsidRPr="00C5619A">
              <w:rPr>
                <w:b/>
                <w:bCs/>
              </w:rPr>
              <w:t xml:space="preserve">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76B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59C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161.000</w:t>
            </w:r>
          </w:p>
        </w:tc>
      </w:tr>
      <w:tr w:rsidR="00C5619A" w:rsidRPr="00C5619A" w14:paraId="4BEB52C1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8CC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01566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2D20" w14:textId="12731BE2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Lều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quán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Fibrô</w:t>
            </w:r>
            <w:proofErr w:type="spellEnd"/>
            <w:r w:rsidRPr="00C5619A">
              <w:rPr>
                <w:b/>
                <w:bCs/>
              </w:rPr>
              <w:t xml:space="preserve">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F53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5CC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379.000</w:t>
            </w:r>
          </w:p>
        </w:tc>
      </w:tr>
      <w:tr w:rsidR="00C5619A" w:rsidRPr="00C5619A" w14:paraId="1D3CB0A1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A2F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25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3A63F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7477" w14:textId="7F5BF106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Trần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cao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xương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chìm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chịu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C7A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3ED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421.000</w:t>
            </w:r>
          </w:p>
        </w:tc>
      </w:tr>
      <w:tr w:rsidR="00C5619A" w:rsidRPr="00C5619A" w14:paraId="51F87693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CC2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26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602936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FE4F" w14:textId="2C1922FE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Trần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cao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tấm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thả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chịu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DAE4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2D8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328.000</w:t>
            </w:r>
          </w:p>
        </w:tc>
      </w:tr>
      <w:tr w:rsidR="00C5619A" w:rsidRPr="00C5619A" w14:paraId="10FDF862" w14:textId="77777777" w:rsidTr="00C5619A">
        <w:trPr>
          <w:tblCellSpacing w:w="0" w:type="dxa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9B9C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27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7F1E5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8A8A2" w14:textId="1319ECA3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Trần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tấm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nhựa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A488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890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403.000</w:t>
            </w:r>
          </w:p>
        </w:tc>
      </w:tr>
      <w:tr w:rsidR="00C5619A" w:rsidRPr="00C5619A" w14:paraId="5B4A373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E753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28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58FE7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44A06" w14:textId="3427BF60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 </w:t>
            </w:r>
            <w:proofErr w:type="spellStart"/>
            <w:r w:rsidRPr="00C5619A">
              <w:rPr>
                <w:b/>
                <w:bCs/>
              </w:rPr>
              <w:t>lát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8B01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D32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135.000</w:t>
            </w:r>
          </w:p>
        </w:tc>
      </w:tr>
      <w:tr w:rsidR="00C5619A" w:rsidRPr="00C5619A" w14:paraId="0FC8005D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633D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29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8C7B4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EC127" w14:textId="48CE7C71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 </w:t>
            </w:r>
            <w:proofErr w:type="spellStart"/>
            <w:r w:rsidRPr="00C5619A">
              <w:rPr>
                <w:b/>
                <w:bCs/>
              </w:rPr>
              <w:t>lát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đất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nung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lá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nem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4C20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07C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205.000</w:t>
            </w:r>
          </w:p>
        </w:tc>
      </w:tr>
      <w:tr w:rsidR="00C5619A" w:rsidRPr="00C5619A" w14:paraId="6151CAB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2A39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30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33B2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9927E" w14:textId="7E621742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Sân, </w:t>
            </w:r>
            <w:proofErr w:type="spellStart"/>
            <w:r w:rsidRPr="00C5619A">
              <w:rPr>
                <w:b/>
                <w:bCs/>
              </w:rPr>
              <w:t>đường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BT 150,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5DB0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04C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1.607.000</w:t>
            </w:r>
          </w:p>
        </w:tc>
      </w:tr>
      <w:tr w:rsidR="00C5619A" w:rsidRPr="00C5619A" w14:paraId="77BCC672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BC38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31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0A7C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9BA9D" w14:textId="26A06071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Sân, </w:t>
            </w:r>
            <w:proofErr w:type="spellStart"/>
            <w:r w:rsidRPr="00C5619A">
              <w:rPr>
                <w:b/>
                <w:bCs/>
              </w:rPr>
              <w:t>đường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BT 200,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8C9F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D3A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1.689.000</w:t>
            </w:r>
          </w:p>
        </w:tc>
      </w:tr>
      <w:tr w:rsidR="00C5619A" w:rsidRPr="00C5619A" w14:paraId="603D9169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5EB5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32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5479B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2400D" w14:textId="3B50E671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Sân, </w:t>
            </w:r>
            <w:proofErr w:type="spellStart"/>
            <w:r w:rsidRPr="00C5619A">
              <w:rPr>
                <w:b/>
                <w:bCs/>
              </w:rPr>
              <w:t>đường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BT 250,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FE53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A5E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1.768.000</w:t>
            </w:r>
          </w:p>
        </w:tc>
      </w:tr>
      <w:tr w:rsidR="00C5619A" w:rsidRPr="00C5619A" w14:paraId="75E2477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05FD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33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BB833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93D6D" w14:textId="44B8D4E2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Sân </w:t>
            </w:r>
            <w:proofErr w:type="spellStart"/>
            <w:r w:rsidRPr="00C5619A">
              <w:rPr>
                <w:b/>
                <w:bCs/>
              </w:rPr>
              <w:t>láng</w:t>
            </w:r>
            <w:proofErr w:type="spellEnd"/>
            <w:r w:rsidRPr="00C5619A">
              <w:rPr>
                <w:b/>
                <w:bCs/>
              </w:rPr>
              <w:t xml:space="preserve">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dày</w:t>
            </w:r>
            <w:proofErr w:type="spellEnd"/>
            <w:r w:rsidRPr="00C5619A">
              <w:rPr>
                <w:b/>
                <w:bCs/>
              </w:rPr>
              <w:t xml:space="preserve"> 3cm (</w:t>
            </w:r>
            <w:proofErr w:type="spellStart"/>
            <w:r w:rsidRPr="00C5619A">
              <w:rPr>
                <w:b/>
                <w:bCs/>
              </w:rPr>
              <w:t>nền</w:t>
            </w:r>
            <w:proofErr w:type="spellEnd"/>
            <w:r w:rsidRPr="00C5619A">
              <w:rPr>
                <w:b/>
                <w:bCs/>
              </w:rPr>
              <w:t xml:space="preserve"> BTGV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nền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cứng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như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xỉ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gramStart"/>
            <w:r w:rsidRPr="00C5619A">
              <w:rPr>
                <w:b/>
                <w:bCs/>
              </w:rPr>
              <w:t>than,...</w:t>
            </w:r>
            <w:proofErr w:type="gramEnd"/>
            <w:r w:rsidRPr="00C5619A">
              <w:rPr>
                <w:b/>
                <w:bCs/>
              </w:rPr>
              <w:t>.).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670A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0897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179.000</w:t>
            </w:r>
          </w:p>
        </w:tc>
      </w:tr>
      <w:tr w:rsidR="00C5619A" w:rsidRPr="00C5619A" w14:paraId="61B37CF5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DA74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34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A5B92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74E65" w14:textId="7F6624AF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Khối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móng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50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75F5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86F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1.574.000</w:t>
            </w:r>
          </w:p>
        </w:tc>
      </w:tr>
      <w:tr w:rsidR="00C5619A" w:rsidRPr="00C5619A" w14:paraId="746A6C69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DAAE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35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F1D4C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343D5" w14:textId="18B79C2D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Khối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50 (</w:t>
            </w:r>
            <w:proofErr w:type="spellStart"/>
            <w:r w:rsidRPr="00C5619A">
              <w:rPr>
                <w:b/>
                <w:bCs/>
              </w:rPr>
              <w:t>không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trát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không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sơn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không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ve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DEDE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F1E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1.660.000</w:t>
            </w:r>
          </w:p>
        </w:tc>
      </w:tr>
      <w:tr w:rsidR="00C5619A" w:rsidRPr="00C5619A" w14:paraId="47437B2B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DEB7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36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D94E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ED653" w14:textId="2E43DA3B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Khối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mác</w:t>
            </w:r>
            <w:proofErr w:type="spellEnd"/>
            <w:r w:rsidRPr="00C5619A">
              <w:rPr>
                <w:b/>
                <w:bCs/>
              </w:rPr>
              <w:t xml:space="preserve"> 50 (</w:t>
            </w:r>
            <w:proofErr w:type="spellStart"/>
            <w:r w:rsidRPr="00C5619A">
              <w:rPr>
                <w:b/>
                <w:bCs/>
              </w:rPr>
              <w:t>đã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trát</w:t>
            </w:r>
            <w:proofErr w:type="spellEnd"/>
            <w:r w:rsidRPr="00C5619A">
              <w:rPr>
                <w:b/>
                <w:bCs/>
              </w:rPr>
              <w:t xml:space="preserve"> 2 </w:t>
            </w:r>
            <w:proofErr w:type="spellStart"/>
            <w:r w:rsidRPr="00C5619A">
              <w:rPr>
                <w:b/>
                <w:bCs/>
              </w:rPr>
              <w:t>mặt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sơn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ve</w:t>
            </w:r>
            <w:proofErr w:type="spellEnd"/>
            <w:r w:rsidRPr="00C5619A">
              <w:rPr>
                <w:b/>
                <w:bCs/>
              </w:rPr>
              <w:t xml:space="preserve"> 2 </w:t>
            </w:r>
            <w:proofErr w:type="spellStart"/>
            <w:r w:rsidRPr="00C5619A">
              <w:rPr>
                <w:b/>
                <w:bCs/>
              </w:rPr>
              <w:t>mặt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0FA6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245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2.622.000</w:t>
            </w:r>
          </w:p>
        </w:tc>
      </w:tr>
      <w:tr w:rsidR="00C5619A" w:rsidRPr="00C5619A" w14:paraId="5740AF5D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8FEB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37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5A974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12B2B" w14:textId="39F8774D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Khối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 M50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1E54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427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1.287.000</w:t>
            </w:r>
          </w:p>
        </w:tc>
      </w:tr>
      <w:tr w:rsidR="00C5619A" w:rsidRPr="00C5619A" w14:paraId="5E2BA6CF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45E5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38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C8AAA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454D3" w14:textId="504290DF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cốt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cột</w:t>
            </w:r>
            <w:proofErr w:type="spellEnd"/>
            <w:r w:rsidRPr="00C5619A">
              <w:rPr>
                <w:b/>
                <w:bCs/>
              </w:rPr>
              <w:t xml:space="preserve"> M200,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6E9F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3F6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10.506.000</w:t>
            </w:r>
          </w:p>
        </w:tc>
      </w:tr>
      <w:tr w:rsidR="00C5619A" w:rsidRPr="00C5619A" w14:paraId="242E04B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B37F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39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1CE9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F576D" w14:textId="70205274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cốt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dầm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giằng</w:t>
            </w:r>
            <w:proofErr w:type="spellEnd"/>
            <w:r w:rsidRPr="00C5619A">
              <w:rPr>
                <w:b/>
                <w:bCs/>
              </w:rPr>
              <w:t xml:space="preserve"> M200,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9AFC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AA6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9.027.000</w:t>
            </w:r>
          </w:p>
        </w:tc>
      </w:tr>
      <w:tr w:rsidR="00C5619A" w:rsidRPr="00C5619A" w14:paraId="7A5EFC1D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89FE7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40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005C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B2134" w14:textId="0949D85C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cốt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sàn</w:t>
            </w:r>
            <w:proofErr w:type="spellEnd"/>
            <w:r w:rsidRPr="00C5619A">
              <w:rPr>
                <w:b/>
                <w:bCs/>
              </w:rPr>
              <w:t xml:space="preserve"> M200,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5C24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DC8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5.984.000</w:t>
            </w:r>
          </w:p>
        </w:tc>
      </w:tr>
      <w:tr w:rsidR="00C5619A" w:rsidRPr="00C5619A" w14:paraId="71535FBA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ADE2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41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6ECCF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903CA" w14:textId="5B60B970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Bê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cốt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thép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móng</w:t>
            </w:r>
            <w:proofErr w:type="spellEnd"/>
            <w:r w:rsidRPr="00C5619A">
              <w:rPr>
                <w:b/>
                <w:bCs/>
              </w:rPr>
              <w:t xml:space="preserve"> M200,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 xml:space="preserve"> 1x2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327C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335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4.431.000</w:t>
            </w:r>
          </w:p>
        </w:tc>
      </w:tr>
      <w:tr w:rsidR="00C5619A" w:rsidRPr="00C5619A" w14:paraId="676FE8F1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C5B9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lastRenderedPageBreak/>
              <w:t>42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E9D2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22417" w14:textId="0CA782FD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Khu </w:t>
            </w:r>
            <w:proofErr w:type="spellStart"/>
            <w:r w:rsidRPr="00C5619A">
              <w:rPr>
                <w:b/>
                <w:bCs/>
              </w:rPr>
              <w:t>chăn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nuôi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Fibro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F72B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300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1.247.000</w:t>
            </w:r>
          </w:p>
        </w:tc>
      </w:tr>
      <w:tr w:rsidR="00C5619A" w:rsidRPr="00C5619A" w14:paraId="28D21ABB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8425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43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81B6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4CBF5" w14:textId="1B0EE2D3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Khu </w:t>
            </w:r>
            <w:proofErr w:type="spellStart"/>
            <w:r w:rsidRPr="00C5619A">
              <w:rPr>
                <w:b/>
                <w:bCs/>
              </w:rPr>
              <w:t>chăn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nuôi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rẻ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tiền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1482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D07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1.046.000</w:t>
            </w:r>
          </w:p>
        </w:tc>
      </w:tr>
      <w:tr w:rsidR="00C5619A" w:rsidRPr="00C5619A" w14:paraId="54D0CF32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845F0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44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3F04B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FBF0A" w14:textId="6B1CDA69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1 (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sàn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BTCT, </w:t>
            </w:r>
            <w:proofErr w:type="spellStart"/>
            <w:r w:rsidRPr="00C5619A">
              <w:rPr>
                <w:b/>
                <w:bCs/>
              </w:rPr>
              <w:t>có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ốp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tốt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thiết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bị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đồng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bộ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thoát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đầy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đủ</w:t>
            </w:r>
            <w:proofErr w:type="spellEnd"/>
            <w:r w:rsidRPr="00C5619A">
              <w:rPr>
                <w:b/>
                <w:bCs/>
              </w:rPr>
              <w:t xml:space="preserve">. </w:t>
            </w:r>
            <w:proofErr w:type="spellStart"/>
            <w:r w:rsidRPr="00C5619A">
              <w:rPr>
                <w:b/>
                <w:bCs/>
              </w:rPr>
              <w:t>Chưa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phốt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>).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0949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046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3.728.000</w:t>
            </w:r>
          </w:p>
        </w:tc>
      </w:tr>
      <w:tr w:rsidR="00C5619A" w:rsidRPr="00C5619A" w14:paraId="49F22521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985D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45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06C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01FF6" w14:textId="45565AB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2 (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tôn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Fibro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có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ốp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tốt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đầy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đủ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thiết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bị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cấp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thoát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. </w:t>
            </w:r>
            <w:proofErr w:type="spellStart"/>
            <w:r w:rsidRPr="00C5619A">
              <w:rPr>
                <w:b/>
                <w:bCs/>
              </w:rPr>
              <w:t>Chưa</w:t>
            </w:r>
            <w:proofErr w:type="spellEnd"/>
            <w:r w:rsidRPr="00C5619A">
              <w:rPr>
                <w:b/>
                <w:bCs/>
              </w:rPr>
              <w:t xml:space="preserve"> bao </w:t>
            </w:r>
            <w:proofErr w:type="spellStart"/>
            <w:r w:rsidRPr="00C5619A">
              <w:rPr>
                <w:b/>
                <w:bCs/>
              </w:rPr>
              <w:t>gồm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phốt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bể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>).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6E33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1CA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2.243.000</w:t>
            </w:r>
          </w:p>
        </w:tc>
      </w:tr>
      <w:tr w:rsidR="00C5619A" w:rsidRPr="00C5619A" w14:paraId="0162F245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73841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46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1E42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60A95" w14:textId="4C87FA80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Nhà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3 (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mái</w:t>
            </w:r>
            <w:proofErr w:type="spellEnd"/>
            <w:r w:rsidRPr="00C5619A">
              <w:rPr>
                <w:b/>
                <w:bCs/>
              </w:rPr>
              <w:t xml:space="preserve"> Fibro xi </w:t>
            </w:r>
            <w:proofErr w:type="spellStart"/>
            <w:r w:rsidRPr="00C5619A">
              <w:rPr>
                <w:b/>
                <w:bCs/>
              </w:rPr>
              <w:t>măng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khác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không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ốp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lát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không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có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thiết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bị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vệ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sinh</w:t>
            </w:r>
            <w:proofErr w:type="spellEnd"/>
            <w:r w:rsidRPr="00C5619A">
              <w:rPr>
                <w:b/>
                <w:bCs/>
              </w:rPr>
              <w:t>).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097F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EF5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911.000</w:t>
            </w:r>
          </w:p>
        </w:tc>
      </w:tr>
      <w:tr w:rsidR="00C5619A" w:rsidRPr="00C5619A" w14:paraId="4E167876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503F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47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65DB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66F88" w14:textId="38BA9C56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Mộ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trát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XM, </w:t>
            </w:r>
            <w:proofErr w:type="spellStart"/>
            <w:r w:rsidRPr="00C5619A">
              <w:rPr>
                <w:b/>
                <w:bCs/>
              </w:rPr>
              <w:t>quét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ve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Kích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thước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bình</w:t>
            </w:r>
            <w:proofErr w:type="spellEnd"/>
            <w:r w:rsidRPr="00C5619A">
              <w:rPr>
                <w:b/>
                <w:bCs/>
              </w:rPr>
              <w:t xml:space="preserve"> (m): 1,5* 1,0* 1,6)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16DF4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F04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7.748.000</w:t>
            </w:r>
          </w:p>
        </w:tc>
      </w:tr>
      <w:tr w:rsidR="00C5619A" w:rsidRPr="00C5619A" w14:paraId="57A6B653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8339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48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C611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FF0D5" w14:textId="78AC81DC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Mộ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hình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tròn</w:t>
            </w:r>
            <w:proofErr w:type="spellEnd"/>
            <w:r w:rsidRPr="00C5619A">
              <w:rPr>
                <w:b/>
                <w:bCs/>
              </w:rPr>
              <w:t xml:space="preserve">), </w:t>
            </w:r>
            <w:proofErr w:type="spellStart"/>
            <w:r w:rsidRPr="00C5619A">
              <w:rPr>
                <w:b/>
                <w:bCs/>
              </w:rPr>
              <w:t>trát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XM, </w:t>
            </w:r>
            <w:proofErr w:type="spellStart"/>
            <w:r w:rsidRPr="00C5619A">
              <w:rPr>
                <w:b/>
                <w:bCs/>
              </w:rPr>
              <w:t>quét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ve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Đường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kính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bình</w:t>
            </w:r>
            <w:proofErr w:type="spellEnd"/>
            <w:r w:rsidRPr="00C5619A">
              <w:rPr>
                <w:b/>
                <w:bCs/>
              </w:rPr>
              <w:t xml:space="preserve"> D=1,5m, </w:t>
            </w:r>
            <w:proofErr w:type="spellStart"/>
            <w:r w:rsidRPr="00C5619A">
              <w:rPr>
                <w:b/>
                <w:bCs/>
              </w:rPr>
              <w:t>cao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bình</w:t>
            </w:r>
            <w:proofErr w:type="spellEnd"/>
            <w:r w:rsidRPr="00C5619A">
              <w:rPr>
                <w:b/>
                <w:bCs/>
              </w:rPr>
              <w:t xml:space="preserve"> 1,6m)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7186F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3A4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7.361.000</w:t>
            </w:r>
          </w:p>
        </w:tc>
      </w:tr>
      <w:tr w:rsidR="00C5619A" w:rsidRPr="00C5619A" w14:paraId="244ACD04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D6EE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49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1EB8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3C10C" w14:textId="25013871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Mộ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chôn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cất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một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lần</w:t>
            </w:r>
            <w:proofErr w:type="spellEnd"/>
            <w:r w:rsidRPr="00C5619A">
              <w:rPr>
                <w:b/>
                <w:bCs/>
              </w:rPr>
              <w:t xml:space="preserve">), </w:t>
            </w:r>
            <w:proofErr w:type="spellStart"/>
            <w:r w:rsidRPr="00C5619A">
              <w:rPr>
                <w:b/>
                <w:bCs/>
              </w:rPr>
              <w:t>trát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vữa</w:t>
            </w:r>
            <w:proofErr w:type="spellEnd"/>
            <w:r w:rsidRPr="00C5619A">
              <w:rPr>
                <w:b/>
                <w:bCs/>
              </w:rPr>
              <w:t xml:space="preserve"> XM, </w:t>
            </w:r>
            <w:proofErr w:type="spellStart"/>
            <w:r w:rsidRPr="00C5619A">
              <w:rPr>
                <w:b/>
                <w:bCs/>
              </w:rPr>
              <w:t>quét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nước</w:t>
            </w:r>
            <w:proofErr w:type="spellEnd"/>
            <w:r w:rsidRPr="00C5619A">
              <w:rPr>
                <w:b/>
                <w:bCs/>
              </w:rPr>
              <w:t xml:space="preserve"> XM </w:t>
            </w:r>
            <w:proofErr w:type="spellStart"/>
            <w:r w:rsidRPr="00C5619A">
              <w:rPr>
                <w:b/>
                <w:bCs/>
              </w:rPr>
              <w:t>hoặc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vôi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ve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Kích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thước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trung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bình</w:t>
            </w:r>
            <w:proofErr w:type="spellEnd"/>
            <w:r w:rsidRPr="00C5619A">
              <w:rPr>
                <w:b/>
                <w:bCs/>
              </w:rPr>
              <w:t xml:space="preserve"> (m): 2,4* 1,2* 1,6)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1C740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63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10.321.000</w:t>
            </w:r>
          </w:p>
        </w:tc>
      </w:tr>
      <w:tr w:rsidR="00C5619A" w:rsidRPr="00C5619A" w14:paraId="4CF06770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7CE8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50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FB50F" w14:textId="77777777" w:rsidR="00C5619A" w:rsidRPr="00C5619A" w:rsidRDefault="00C5619A" w:rsidP="00C5619A">
            <w:pPr>
              <w:rPr>
                <w:b/>
                <w:bCs/>
                <w:i/>
                <w:i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B9E43" w14:textId="1CAA4041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  <w:i/>
                <w:iCs/>
              </w:rPr>
              <w:t xml:space="preserve">Trường </w:t>
            </w:r>
            <w:proofErr w:type="spellStart"/>
            <w:r w:rsidRPr="00C5619A">
              <w:rPr>
                <w:b/>
                <w:bCs/>
                <w:i/>
                <w:iCs/>
              </w:rPr>
              <w:t>hợp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mộ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xây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gạch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nếu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ốp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gạch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hoặc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đá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được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bổ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sung </w:t>
            </w:r>
            <w:proofErr w:type="spellStart"/>
            <w:r w:rsidRPr="00C5619A">
              <w:rPr>
                <w:b/>
                <w:bCs/>
                <w:i/>
                <w:iCs/>
              </w:rPr>
              <w:t>thêm</w:t>
            </w:r>
            <w:proofErr w:type="spellEnd"/>
            <w:r w:rsidRPr="00C5619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33C2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1092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</w:tr>
      <w:tr w:rsidR="00C5619A" w:rsidRPr="00C5619A" w14:paraId="7F06248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D0895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-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17F24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F0E41" w14:textId="3A81EA2C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Chi </w:t>
            </w:r>
            <w:proofErr w:type="spellStart"/>
            <w:r w:rsidRPr="00C5619A">
              <w:rPr>
                <w:b/>
                <w:bCs/>
              </w:rPr>
              <w:t>phí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nhân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công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và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phụ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28A1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49DA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176.000</w:t>
            </w:r>
          </w:p>
        </w:tc>
      </w:tr>
      <w:tr w:rsidR="00C5619A" w:rsidRPr="00C5619A" w14:paraId="1DD86038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55F2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-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BA09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0803D" w14:textId="457743CC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Vật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liệu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ốp</w:t>
            </w:r>
            <w:proofErr w:type="spellEnd"/>
            <w:r w:rsidRPr="00C5619A">
              <w:rPr>
                <w:b/>
                <w:bCs/>
              </w:rPr>
              <w:t xml:space="preserve"> (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, </w:t>
            </w:r>
            <w:proofErr w:type="spellStart"/>
            <w:r w:rsidRPr="00C5619A">
              <w:rPr>
                <w:b/>
                <w:bCs/>
              </w:rPr>
              <w:t>đá</w:t>
            </w:r>
            <w:proofErr w:type="spellEnd"/>
            <w:r w:rsidRPr="00C5619A">
              <w:rPr>
                <w:b/>
                <w:bCs/>
              </w:rPr>
              <w:t>)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45D8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EFA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 xml:space="preserve">Theo </w:t>
            </w:r>
            <w:proofErr w:type="spellStart"/>
            <w:r w:rsidRPr="00C5619A">
              <w:rPr>
                <w:b/>
                <w:bCs/>
              </w:rPr>
              <w:t>giá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thị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thời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điểm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xác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định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giá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bồi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thường</w:t>
            </w:r>
            <w:proofErr w:type="spellEnd"/>
          </w:p>
        </w:tc>
      </w:tr>
      <w:tr w:rsidR="00C5619A" w:rsidRPr="00C5619A" w14:paraId="4AFD07B4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009CE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51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CBAF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4E5EC" w14:textId="7E9DA556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Mộ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chưa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cải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táng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57084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535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13.455.000</w:t>
            </w:r>
          </w:p>
        </w:tc>
      </w:tr>
      <w:tr w:rsidR="00C5619A" w:rsidRPr="00C5619A" w14:paraId="5204B850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D53F6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lastRenderedPageBreak/>
              <w:t>52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DEEA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B00D3" w14:textId="317E9A5E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Mộ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B6D2E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3EF8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4.867.000</w:t>
            </w:r>
          </w:p>
        </w:tc>
      </w:tr>
      <w:tr w:rsidR="00C5619A" w:rsidRPr="00C5619A" w14:paraId="2CD2A118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FB799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-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0C30" w14:textId="77777777" w:rsidR="00C5619A" w:rsidRPr="00C5619A" w:rsidRDefault="00C5619A" w:rsidP="00C5619A">
            <w:pPr>
              <w:rPr>
                <w:b/>
                <w:bCs/>
                <w:i/>
                <w:i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31696" w14:textId="2D18A963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  <w:i/>
                <w:iCs/>
              </w:rPr>
              <w:t xml:space="preserve">Trường </w:t>
            </w:r>
            <w:proofErr w:type="spellStart"/>
            <w:r w:rsidRPr="00C5619A">
              <w:rPr>
                <w:b/>
                <w:bCs/>
                <w:i/>
                <w:iCs/>
              </w:rPr>
              <w:t>hợp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mộ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đất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chuyển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đến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nơi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mới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phải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xây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dựng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theo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quy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định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thì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hỗ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trợ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bổ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sung </w:t>
            </w:r>
            <w:proofErr w:type="spellStart"/>
            <w:r w:rsidRPr="00C5619A">
              <w:rPr>
                <w:b/>
                <w:bCs/>
                <w:i/>
                <w:iCs/>
              </w:rPr>
              <w:t>kinh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phí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xây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dựng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619A">
              <w:rPr>
                <w:b/>
                <w:bCs/>
                <w:i/>
                <w:iCs/>
              </w:rPr>
              <w:t>khi</w:t>
            </w:r>
            <w:proofErr w:type="spellEnd"/>
            <w:r w:rsidRPr="00C5619A">
              <w:rPr>
                <w:b/>
                <w:bCs/>
                <w:i/>
                <w:iCs/>
              </w:rPr>
              <w:t xml:space="preserve"> di </w:t>
            </w:r>
            <w:proofErr w:type="spellStart"/>
            <w:r w:rsidRPr="00C5619A">
              <w:rPr>
                <w:b/>
                <w:bCs/>
                <w:i/>
                <w:iCs/>
              </w:rPr>
              <w:t>chuyển</w:t>
            </w:r>
            <w:proofErr w:type="spellEnd"/>
            <w:r w:rsidRPr="00C5619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66690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75A3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  <w:i/>
                <w:iCs/>
              </w:rPr>
              <w:t>2.494.000</w:t>
            </w:r>
          </w:p>
        </w:tc>
      </w:tr>
      <w:tr w:rsidR="00C5619A" w:rsidRPr="00C5619A" w14:paraId="1F358A9E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AD602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53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06731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0DEB9" w14:textId="430B6361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hương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trên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sân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loại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xây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có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ốp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ceramic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D2A70" w14:textId="77777777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cái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CC3F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1.545.000</w:t>
            </w:r>
          </w:p>
        </w:tc>
      </w:tr>
      <w:tr w:rsidR="00C5619A" w:rsidRPr="00C5619A" w14:paraId="7CFFD762" w14:textId="77777777" w:rsidTr="00C5619A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3A14B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54</w:t>
            </w: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6D71" w14:textId="77777777" w:rsidR="00C5619A" w:rsidRPr="00C5619A" w:rsidRDefault="00C5619A" w:rsidP="00C5619A">
            <w:pPr>
              <w:rPr>
                <w:b/>
                <w:bCs/>
              </w:rPr>
            </w:pPr>
          </w:p>
        </w:tc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FA88A" w14:textId="6FB38C4E" w:rsidR="00C5619A" w:rsidRPr="00C5619A" w:rsidRDefault="00C5619A" w:rsidP="00C5619A">
            <w:pPr>
              <w:rPr>
                <w:b/>
                <w:bCs/>
              </w:rPr>
            </w:pPr>
            <w:proofErr w:type="spellStart"/>
            <w:r w:rsidRPr="00C5619A">
              <w:rPr>
                <w:b/>
                <w:bCs/>
              </w:rPr>
              <w:t>Tường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hỗn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hợp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đất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đắp</w:t>
            </w:r>
            <w:proofErr w:type="spellEnd"/>
            <w:r w:rsidRPr="00C5619A">
              <w:rPr>
                <w:b/>
                <w:bCs/>
              </w:rPr>
              <w:t xml:space="preserve"> + </w:t>
            </w:r>
            <w:proofErr w:type="spellStart"/>
            <w:r w:rsidRPr="00C5619A">
              <w:rPr>
                <w:b/>
                <w:bCs/>
              </w:rPr>
              <w:t>gạch</w:t>
            </w:r>
            <w:proofErr w:type="spellEnd"/>
            <w:r w:rsidRPr="00C5619A">
              <w:rPr>
                <w:b/>
                <w:bCs/>
              </w:rPr>
              <w:t xml:space="preserve"> </w:t>
            </w:r>
            <w:proofErr w:type="spellStart"/>
            <w:r w:rsidRPr="00C5619A">
              <w:rPr>
                <w:b/>
                <w:bCs/>
              </w:rPr>
              <w:t>vỡ</w:t>
            </w:r>
            <w:proofErr w:type="spellEnd"/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19E5C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m</w:t>
            </w:r>
            <w:r w:rsidRPr="00C5619A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FC4D" w14:textId="77777777" w:rsidR="00C5619A" w:rsidRPr="00C5619A" w:rsidRDefault="00C5619A" w:rsidP="00C5619A">
            <w:pPr>
              <w:rPr>
                <w:b/>
                <w:bCs/>
              </w:rPr>
            </w:pPr>
            <w:r w:rsidRPr="00C5619A">
              <w:rPr>
                <w:b/>
                <w:bCs/>
              </w:rPr>
              <w:t>246.000</w:t>
            </w:r>
          </w:p>
        </w:tc>
      </w:tr>
    </w:tbl>
    <w:p w14:paraId="7DF6BA64" w14:textId="77777777" w:rsidR="00C5619A" w:rsidRPr="00C5619A" w:rsidRDefault="00C5619A" w:rsidP="00C5619A">
      <w:pPr>
        <w:rPr>
          <w:b/>
          <w:bCs/>
        </w:rPr>
      </w:pPr>
      <w:proofErr w:type="spellStart"/>
      <w:r w:rsidRPr="00C5619A">
        <w:rPr>
          <w:b/>
          <w:bCs/>
          <w:i/>
          <w:iCs/>
        </w:rPr>
        <w:t>Ghi</w:t>
      </w:r>
      <w:proofErr w:type="spellEnd"/>
      <w:r w:rsidRPr="00C5619A">
        <w:rPr>
          <w:b/>
          <w:bCs/>
          <w:i/>
          <w:iCs/>
        </w:rPr>
        <w:t xml:space="preserve"> </w:t>
      </w:r>
      <w:proofErr w:type="spellStart"/>
      <w:r w:rsidRPr="00C5619A">
        <w:rPr>
          <w:b/>
          <w:bCs/>
          <w:i/>
          <w:iCs/>
        </w:rPr>
        <w:t>chú</w:t>
      </w:r>
      <w:proofErr w:type="spellEnd"/>
      <w:r w:rsidRPr="00C5619A">
        <w:rPr>
          <w:b/>
          <w:bCs/>
          <w:i/>
          <w:iCs/>
        </w:rPr>
        <w:t>:</w:t>
      </w:r>
    </w:p>
    <w:p w14:paraId="7D598ED4" w14:textId="77777777" w:rsidR="00C5619A" w:rsidRPr="00C5619A" w:rsidRDefault="00C5619A" w:rsidP="00C5619A">
      <w:pPr>
        <w:rPr>
          <w:b/>
          <w:bCs/>
        </w:rPr>
      </w:pPr>
      <w:r w:rsidRPr="00C5619A">
        <w:rPr>
          <w:b/>
          <w:bCs/>
        </w:rPr>
        <w:t xml:space="preserve">- </w:t>
      </w:r>
      <w:proofErr w:type="spellStart"/>
      <w:r w:rsidRPr="00C5619A">
        <w:rPr>
          <w:b/>
          <w:bCs/>
        </w:rPr>
        <w:t>Đối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với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có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gác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xép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đơn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giá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tính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cho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diện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tích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gác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xép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bằng</w:t>
      </w:r>
      <w:proofErr w:type="spellEnd"/>
      <w:r w:rsidRPr="00C5619A">
        <w:rPr>
          <w:b/>
          <w:bCs/>
        </w:rPr>
        <w:t xml:space="preserve"> 50% </w:t>
      </w:r>
      <w:proofErr w:type="spellStart"/>
      <w:r w:rsidRPr="00C5619A">
        <w:rPr>
          <w:b/>
          <w:bCs/>
        </w:rPr>
        <w:t>đơn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giá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của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tầng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có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gác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xép</w:t>
      </w:r>
      <w:proofErr w:type="spellEnd"/>
      <w:r w:rsidRPr="00C5619A">
        <w:rPr>
          <w:b/>
          <w:bCs/>
        </w:rPr>
        <w:t>.</w:t>
      </w:r>
    </w:p>
    <w:p w14:paraId="6FC948A2" w14:textId="77777777" w:rsidR="00C5619A" w:rsidRPr="00C5619A" w:rsidRDefault="00C5619A" w:rsidP="00C5619A">
      <w:pPr>
        <w:rPr>
          <w:b/>
          <w:bCs/>
        </w:rPr>
      </w:pPr>
      <w:r w:rsidRPr="00C5619A">
        <w:rPr>
          <w:b/>
          <w:bCs/>
        </w:rPr>
        <w:t xml:space="preserve">- </w:t>
      </w:r>
      <w:proofErr w:type="spellStart"/>
      <w:r w:rsidRPr="00C5619A">
        <w:rPr>
          <w:b/>
          <w:bCs/>
        </w:rPr>
        <w:t>Diện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tích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được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tính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bằng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diện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tích</w:t>
      </w:r>
      <w:proofErr w:type="spellEnd"/>
      <w:r w:rsidRPr="00C5619A">
        <w:rPr>
          <w:b/>
          <w:bCs/>
        </w:rPr>
        <w:t xml:space="preserve"> bao </w:t>
      </w:r>
      <w:proofErr w:type="spellStart"/>
      <w:r w:rsidRPr="00C5619A">
        <w:rPr>
          <w:b/>
          <w:bCs/>
        </w:rPr>
        <w:t>ngoài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của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sàn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(</w:t>
      </w:r>
      <w:proofErr w:type="spellStart"/>
      <w:r w:rsidRPr="00C5619A">
        <w:rPr>
          <w:b/>
          <w:bCs/>
        </w:rPr>
        <w:t>diện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tích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phủ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bì</w:t>
      </w:r>
      <w:proofErr w:type="spellEnd"/>
      <w:r w:rsidRPr="00C5619A">
        <w:rPr>
          <w:b/>
          <w:bCs/>
        </w:rPr>
        <w:t xml:space="preserve">) </w:t>
      </w:r>
      <w:proofErr w:type="spellStart"/>
      <w:r w:rsidRPr="00C5619A">
        <w:rPr>
          <w:b/>
          <w:bCs/>
        </w:rPr>
        <w:t>và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phía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trên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theo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phương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thẳng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đứng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có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mái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che</w:t>
      </w:r>
      <w:proofErr w:type="spellEnd"/>
      <w:r w:rsidRPr="00C5619A">
        <w:rPr>
          <w:b/>
          <w:bCs/>
        </w:rPr>
        <w:t>.</w:t>
      </w:r>
    </w:p>
    <w:p w14:paraId="17F4652B" w14:textId="77777777" w:rsidR="00C5619A" w:rsidRPr="00C5619A" w:rsidRDefault="00C5619A" w:rsidP="00C5619A">
      <w:pPr>
        <w:rPr>
          <w:b/>
          <w:bCs/>
        </w:rPr>
      </w:pPr>
      <w:r w:rsidRPr="00C5619A">
        <w:rPr>
          <w:b/>
          <w:bCs/>
        </w:rPr>
        <w:t xml:space="preserve">- </w:t>
      </w:r>
      <w:proofErr w:type="spellStart"/>
      <w:r w:rsidRPr="00C5619A">
        <w:rPr>
          <w:b/>
          <w:bCs/>
        </w:rPr>
        <w:t>Đơn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giá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không</w:t>
      </w:r>
      <w:proofErr w:type="spellEnd"/>
      <w:r w:rsidRPr="00C5619A">
        <w:rPr>
          <w:b/>
          <w:bCs/>
        </w:rPr>
        <w:t xml:space="preserve"> bao </w:t>
      </w:r>
      <w:proofErr w:type="spellStart"/>
      <w:r w:rsidRPr="00C5619A">
        <w:rPr>
          <w:b/>
          <w:bCs/>
        </w:rPr>
        <w:t>gồm</w:t>
      </w:r>
      <w:proofErr w:type="spellEnd"/>
      <w:r w:rsidRPr="00C5619A">
        <w:rPr>
          <w:b/>
          <w:bCs/>
        </w:rPr>
        <w:t>:</w:t>
      </w:r>
    </w:p>
    <w:p w14:paraId="15D9CEE8" w14:textId="77777777" w:rsidR="00C5619A" w:rsidRPr="00C5619A" w:rsidRDefault="00C5619A" w:rsidP="00C5619A">
      <w:pPr>
        <w:rPr>
          <w:b/>
          <w:bCs/>
        </w:rPr>
      </w:pPr>
      <w:r w:rsidRPr="00C5619A">
        <w:rPr>
          <w:b/>
          <w:bCs/>
        </w:rPr>
        <w:t xml:space="preserve">+ Chi </w:t>
      </w:r>
      <w:proofErr w:type="spellStart"/>
      <w:r w:rsidRPr="00C5619A">
        <w:rPr>
          <w:b/>
          <w:bCs/>
        </w:rPr>
        <w:t>phí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phục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vụ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công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tác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bồi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thường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hỗ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trợ</w:t>
      </w:r>
      <w:proofErr w:type="spellEnd"/>
      <w:r w:rsidRPr="00C5619A">
        <w:rPr>
          <w:b/>
          <w:bCs/>
        </w:rPr>
        <w:t>;</w:t>
      </w:r>
    </w:p>
    <w:p w14:paraId="5FE35B2B" w14:textId="77777777" w:rsidR="00C5619A" w:rsidRPr="00C5619A" w:rsidRDefault="00C5619A" w:rsidP="00C5619A">
      <w:pPr>
        <w:rPr>
          <w:b/>
          <w:bCs/>
        </w:rPr>
      </w:pPr>
      <w:r w:rsidRPr="00C5619A">
        <w:rPr>
          <w:b/>
          <w:bCs/>
        </w:rPr>
        <w:t xml:space="preserve">+ Chi </w:t>
      </w:r>
      <w:proofErr w:type="spellStart"/>
      <w:r w:rsidRPr="00C5619A">
        <w:rPr>
          <w:b/>
          <w:bCs/>
        </w:rPr>
        <w:t>phí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bồi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thường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hỗ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trợ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đất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để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xây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dựng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mới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nhà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cửa</w:t>
      </w:r>
      <w:proofErr w:type="spellEnd"/>
      <w:r w:rsidRPr="00C5619A">
        <w:rPr>
          <w:b/>
          <w:bCs/>
        </w:rPr>
        <w:t xml:space="preserve">, </w:t>
      </w:r>
      <w:proofErr w:type="spellStart"/>
      <w:r w:rsidRPr="00C5619A">
        <w:rPr>
          <w:b/>
          <w:bCs/>
        </w:rPr>
        <w:t>vật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kiến</w:t>
      </w:r>
      <w:proofErr w:type="spellEnd"/>
      <w:r w:rsidRPr="00C5619A">
        <w:rPr>
          <w:b/>
          <w:bCs/>
        </w:rPr>
        <w:t xml:space="preserve"> </w:t>
      </w:r>
      <w:proofErr w:type="spellStart"/>
      <w:r w:rsidRPr="00C5619A">
        <w:rPr>
          <w:b/>
          <w:bCs/>
        </w:rPr>
        <w:t>trúc</w:t>
      </w:r>
      <w:proofErr w:type="spellEnd"/>
      <w:r w:rsidRPr="00C5619A">
        <w:rPr>
          <w:b/>
          <w:bCs/>
        </w:rPr>
        <w:t>.</w:t>
      </w:r>
    </w:p>
    <w:p w14:paraId="087A1E82" w14:textId="14020BAC" w:rsidR="00236B9C" w:rsidRPr="00C5619A" w:rsidRDefault="00236B9C" w:rsidP="00C5619A"/>
    <w:sectPr w:rsidR="00236B9C" w:rsidRPr="00C5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62"/>
    <w:rsid w:val="0018721A"/>
    <w:rsid w:val="00236B9C"/>
    <w:rsid w:val="00465DBB"/>
    <w:rsid w:val="00477967"/>
    <w:rsid w:val="006B6A62"/>
    <w:rsid w:val="00753011"/>
    <w:rsid w:val="0077080F"/>
    <w:rsid w:val="008E743A"/>
    <w:rsid w:val="00B40831"/>
    <w:rsid w:val="00BE3DA5"/>
    <w:rsid w:val="00C5619A"/>
    <w:rsid w:val="00F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B6E3"/>
  <w15:chartTrackingRefBased/>
  <w15:docId w15:val="{B1CFC7B1-02ED-4861-B29B-A2FDDD1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0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63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7102944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8586145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309262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477122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6499721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401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83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7399270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9210232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738754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7080040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6571562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697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2024-12-04T02:20:00Z</dcterms:created>
  <dcterms:modified xsi:type="dcterms:W3CDTF">2024-12-05T02:46:00Z</dcterms:modified>
</cp:coreProperties>
</file>