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562" w:type="pct"/>
        <w:jc w:val="center"/>
        <w:tblCellMar>
          <w:left w:w="0" w:type="dxa"/>
          <w:right w:w="0" w:type="dxa"/>
        </w:tblCellMar>
        <w:tblLook w:val="04A0" w:firstRow="1" w:lastRow="0" w:firstColumn="1" w:lastColumn="0" w:noHBand="0" w:noVBand="1"/>
      </w:tblPr>
      <w:tblGrid>
        <w:gridCol w:w="3828"/>
        <w:gridCol w:w="6264"/>
      </w:tblGrid>
      <w:tr w:rsidR="00707605" w:rsidRPr="00707605" w14:paraId="3268B95A" w14:textId="77777777" w:rsidTr="00594782">
        <w:trPr>
          <w:jc w:val="center"/>
        </w:trPr>
        <w:tc>
          <w:tcPr>
            <w:tcW w:w="3828" w:type="dxa"/>
            <w:tcMar>
              <w:top w:w="0" w:type="dxa"/>
              <w:left w:w="108" w:type="dxa"/>
              <w:bottom w:w="0" w:type="dxa"/>
              <w:right w:w="108" w:type="dxa"/>
            </w:tcMar>
            <w:hideMark/>
          </w:tcPr>
          <w:p w14:paraId="1AACEDB5" w14:textId="2CA6414D" w:rsidR="00F07DFA" w:rsidRDefault="00707605" w:rsidP="00707605">
            <w:pPr>
              <w:spacing w:after="0" w:line="240" w:lineRule="auto"/>
              <w:jc w:val="center"/>
              <w:rPr>
                <w:b/>
                <w:bCs/>
              </w:rPr>
            </w:pPr>
            <w:r w:rsidRPr="00707605">
              <w:rPr>
                <w:b/>
                <w:bCs/>
              </w:rPr>
              <w:t>QUỐC HỘI</w:t>
            </w:r>
          </w:p>
          <w:p w14:paraId="1CEB02BA" w14:textId="63D44C15" w:rsidR="00707605" w:rsidRPr="00707605" w:rsidRDefault="00F07DFA" w:rsidP="00707605">
            <w:pPr>
              <w:spacing w:after="0" w:line="240" w:lineRule="auto"/>
              <w:jc w:val="center"/>
              <w:rPr>
                <w:b/>
                <w:bCs/>
              </w:rPr>
            </w:pPr>
            <w:r>
              <w:rPr>
                <w:b/>
                <w:bCs/>
                <w:vertAlign w:val="superscript"/>
              </w:rPr>
              <w:t>_____________</w:t>
            </w:r>
            <w:r w:rsidR="00707605" w:rsidRPr="00707605">
              <w:rPr>
                <w:b/>
                <w:bCs/>
              </w:rPr>
              <w:br/>
            </w:r>
          </w:p>
        </w:tc>
        <w:tc>
          <w:tcPr>
            <w:tcW w:w="6264" w:type="dxa"/>
            <w:tcMar>
              <w:top w:w="0" w:type="dxa"/>
              <w:left w:w="108" w:type="dxa"/>
              <w:bottom w:w="0" w:type="dxa"/>
              <w:right w:w="108" w:type="dxa"/>
            </w:tcMar>
            <w:hideMark/>
          </w:tcPr>
          <w:p w14:paraId="064E4125" w14:textId="55ABA6E5" w:rsidR="00707605" w:rsidRDefault="00707605" w:rsidP="00707605">
            <w:pPr>
              <w:spacing w:after="0" w:line="240" w:lineRule="auto"/>
              <w:jc w:val="center"/>
              <w:rPr>
                <w:b/>
                <w:bCs/>
              </w:rPr>
            </w:pPr>
            <w:r w:rsidRPr="00707605">
              <w:rPr>
                <w:b/>
                <w:bCs/>
              </w:rPr>
              <w:t>CỘNG HÒA XÃ HỘI CHỦ NGHĨA VIỆT NAM</w:t>
            </w:r>
            <w:r w:rsidRPr="00707605">
              <w:rPr>
                <w:b/>
                <w:bCs/>
              </w:rPr>
              <w:br/>
              <w:t>Độc lập - Tự do - Hạnh phúc</w:t>
            </w:r>
          </w:p>
          <w:p w14:paraId="7ED4525D" w14:textId="2FD7EA0A" w:rsidR="00F07DFA" w:rsidRPr="00ED0334" w:rsidRDefault="00F07DFA" w:rsidP="00707605">
            <w:pPr>
              <w:spacing w:after="0" w:line="240" w:lineRule="auto"/>
              <w:jc w:val="center"/>
              <w:rPr>
                <w:b/>
                <w:bCs/>
                <w:vertAlign w:val="superscript"/>
              </w:rPr>
            </w:pPr>
            <w:r>
              <w:rPr>
                <w:b/>
                <w:bCs/>
                <w:vertAlign w:val="superscript"/>
              </w:rPr>
              <w:t>_____________________________________</w:t>
            </w:r>
          </w:p>
        </w:tc>
      </w:tr>
      <w:tr w:rsidR="00707605" w:rsidRPr="00707605" w14:paraId="146E7AA8" w14:textId="77777777" w:rsidTr="00594782">
        <w:trPr>
          <w:jc w:val="center"/>
        </w:trPr>
        <w:tc>
          <w:tcPr>
            <w:tcW w:w="3828" w:type="dxa"/>
            <w:tcMar>
              <w:top w:w="0" w:type="dxa"/>
              <w:left w:w="108" w:type="dxa"/>
              <w:bottom w:w="0" w:type="dxa"/>
              <w:right w:w="108" w:type="dxa"/>
            </w:tcMar>
            <w:hideMark/>
          </w:tcPr>
          <w:p w14:paraId="769B81CA" w14:textId="4BBA4A05" w:rsidR="00707605" w:rsidRPr="00707605" w:rsidRDefault="00707605" w:rsidP="00ED0334">
            <w:pPr>
              <w:spacing w:after="0" w:line="240" w:lineRule="auto"/>
              <w:jc w:val="center"/>
              <w:rPr>
                <w:sz w:val="26"/>
                <w:szCs w:val="26"/>
              </w:rPr>
            </w:pPr>
            <w:r w:rsidRPr="00707605">
              <w:rPr>
                <w:sz w:val="26"/>
                <w:szCs w:val="26"/>
              </w:rPr>
              <w:t xml:space="preserve">Nghị quyết số: </w:t>
            </w:r>
            <w:r>
              <w:rPr>
                <w:sz w:val="26"/>
                <w:szCs w:val="26"/>
              </w:rPr>
              <w:t xml:space="preserve">  </w:t>
            </w:r>
            <w:r w:rsidR="00594782">
              <w:rPr>
                <w:sz w:val="26"/>
                <w:szCs w:val="26"/>
              </w:rPr>
              <w:t xml:space="preserve">    </w:t>
            </w:r>
            <w:r>
              <w:rPr>
                <w:sz w:val="26"/>
                <w:szCs w:val="26"/>
              </w:rPr>
              <w:t xml:space="preserve"> </w:t>
            </w:r>
            <w:r w:rsidRPr="00707605">
              <w:rPr>
                <w:sz w:val="26"/>
                <w:szCs w:val="26"/>
              </w:rPr>
              <w:t>/2025/QH15</w:t>
            </w:r>
          </w:p>
        </w:tc>
        <w:tc>
          <w:tcPr>
            <w:tcW w:w="6264" w:type="dxa"/>
            <w:tcMar>
              <w:top w:w="0" w:type="dxa"/>
              <w:left w:w="108" w:type="dxa"/>
              <w:bottom w:w="0" w:type="dxa"/>
              <w:right w:w="108" w:type="dxa"/>
            </w:tcMar>
            <w:hideMark/>
          </w:tcPr>
          <w:p w14:paraId="46CF2941" w14:textId="4B277B58" w:rsidR="00707605" w:rsidRPr="00707605" w:rsidRDefault="00707605" w:rsidP="00ED0334">
            <w:pPr>
              <w:spacing w:after="0" w:line="240" w:lineRule="auto"/>
              <w:jc w:val="center"/>
              <w:rPr>
                <w:sz w:val="26"/>
                <w:szCs w:val="26"/>
              </w:rPr>
            </w:pPr>
          </w:p>
        </w:tc>
      </w:tr>
    </w:tbl>
    <w:p w14:paraId="6D6442EA" w14:textId="77777777" w:rsidR="00707605" w:rsidRPr="00707605" w:rsidRDefault="00707605" w:rsidP="00707605">
      <w:pPr>
        <w:spacing w:after="0" w:line="240" w:lineRule="auto"/>
        <w:jc w:val="center"/>
        <w:rPr>
          <w:b/>
          <w:bCs/>
        </w:rPr>
      </w:pPr>
      <w:r w:rsidRPr="00707605">
        <w:rPr>
          <w:b/>
          <w:bCs/>
        </w:rPr>
        <w:t> </w:t>
      </w:r>
    </w:p>
    <w:p w14:paraId="768A4A1A" w14:textId="77777777" w:rsidR="00707605" w:rsidRPr="00A111E2" w:rsidRDefault="00707605" w:rsidP="00707605">
      <w:pPr>
        <w:spacing w:after="0" w:line="240" w:lineRule="auto"/>
        <w:jc w:val="center"/>
        <w:rPr>
          <w:b/>
          <w:bCs/>
        </w:rPr>
      </w:pPr>
      <w:r w:rsidRPr="00A111E2">
        <w:rPr>
          <w:b/>
          <w:bCs/>
        </w:rPr>
        <w:t>NGHỊ QUYẾT</w:t>
      </w:r>
    </w:p>
    <w:p w14:paraId="543214FA" w14:textId="368B09BB" w:rsidR="00707605" w:rsidRDefault="00707605" w:rsidP="00E564A8">
      <w:pPr>
        <w:tabs>
          <w:tab w:val="left" w:pos="851"/>
        </w:tabs>
        <w:spacing w:after="0" w:line="240" w:lineRule="auto"/>
        <w:jc w:val="center"/>
        <w:rPr>
          <w:b/>
          <w:bCs/>
          <w:spacing w:val="2"/>
        </w:rPr>
      </w:pPr>
      <w:bookmarkStart w:id="0" w:name="_Hlk209335717"/>
      <w:r w:rsidRPr="00A111E2">
        <w:rPr>
          <w:b/>
          <w:bCs/>
        </w:rPr>
        <w:t xml:space="preserve">về </w:t>
      </w:r>
      <w:bookmarkEnd w:id="0"/>
      <w:r w:rsidR="00E564A8" w:rsidRPr="00E564A8">
        <w:rPr>
          <w:b/>
          <w:bCs/>
        </w:rPr>
        <w:t xml:space="preserve">một số giải pháp đột phá, tăng cường bảo vệ, chăm sóc </w:t>
      </w:r>
      <w:r w:rsidR="00E564A8">
        <w:rPr>
          <w:b/>
          <w:bCs/>
        </w:rPr>
        <w:br/>
      </w:r>
      <w:r w:rsidR="00E564A8" w:rsidRPr="00E564A8">
        <w:rPr>
          <w:b/>
          <w:bCs/>
        </w:rPr>
        <w:t xml:space="preserve">và nâng cao sức khỏe </w:t>
      </w:r>
      <w:r w:rsidR="009268F2">
        <w:rPr>
          <w:b/>
          <w:bCs/>
        </w:rPr>
        <w:t>N</w:t>
      </w:r>
      <w:r w:rsidR="00E564A8" w:rsidRPr="00E564A8">
        <w:rPr>
          <w:b/>
          <w:bCs/>
        </w:rPr>
        <w:t>hân dân</w:t>
      </w:r>
    </w:p>
    <w:p w14:paraId="3F874A9B" w14:textId="230FC21E" w:rsidR="00F07DFA" w:rsidRPr="00ED0334" w:rsidRDefault="00F07DFA" w:rsidP="00707605">
      <w:pPr>
        <w:tabs>
          <w:tab w:val="left" w:pos="851"/>
        </w:tabs>
        <w:spacing w:after="0" w:line="240" w:lineRule="auto"/>
        <w:jc w:val="center"/>
        <w:rPr>
          <w:b/>
          <w:bCs/>
          <w:spacing w:val="2"/>
          <w:vertAlign w:val="superscript"/>
        </w:rPr>
      </w:pPr>
      <w:r>
        <w:rPr>
          <w:b/>
          <w:bCs/>
          <w:spacing w:val="2"/>
          <w:vertAlign w:val="superscript"/>
        </w:rPr>
        <w:t>_____________________</w:t>
      </w:r>
    </w:p>
    <w:p w14:paraId="77BE6265" w14:textId="44B3B6C9" w:rsidR="00707605" w:rsidRDefault="00707605" w:rsidP="00707605">
      <w:pPr>
        <w:tabs>
          <w:tab w:val="left" w:pos="851"/>
        </w:tabs>
        <w:spacing w:after="0" w:line="240" w:lineRule="auto"/>
        <w:jc w:val="center"/>
        <w:rPr>
          <w:b/>
          <w:bCs/>
          <w:spacing w:val="2"/>
        </w:rPr>
      </w:pPr>
    </w:p>
    <w:p w14:paraId="2E993082" w14:textId="0D830FE8" w:rsidR="00AB245D" w:rsidRDefault="00AB245D" w:rsidP="00707605">
      <w:pPr>
        <w:tabs>
          <w:tab w:val="left" w:pos="851"/>
        </w:tabs>
        <w:spacing w:after="0" w:line="240" w:lineRule="auto"/>
        <w:jc w:val="center"/>
        <w:rPr>
          <w:b/>
          <w:bCs/>
          <w:spacing w:val="2"/>
        </w:rPr>
      </w:pPr>
      <w:r>
        <w:rPr>
          <w:b/>
          <w:bCs/>
          <w:spacing w:val="2"/>
        </w:rPr>
        <w:t>QUỐC HỘI</w:t>
      </w:r>
    </w:p>
    <w:p w14:paraId="4B594587" w14:textId="77777777" w:rsidR="00F20C01" w:rsidRPr="00707605" w:rsidRDefault="00F20C01" w:rsidP="00707605">
      <w:pPr>
        <w:tabs>
          <w:tab w:val="left" w:pos="851"/>
        </w:tabs>
        <w:spacing w:after="0" w:line="240" w:lineRule="auto"/>
        <w:jc w:val="center"/>
        <w:rPr>
          <w:b/>
          <w:bCs/>
          <w:spacing w:val="2"/>
        </w:rPr>
      </w:pPr>
    </w:p>
    <w:p w14:paraId="1A928089" w14:textId="77777777" w:rsidR="00707605" w:rsidRPr="00707605" w:rsidRDefault="00707605" w:rsidP="00707605">
      <w:pPr>
        <w:spacing w:before="120" w:after="120" w:line="360" w:lineRule="exact"/>
        <w:ind w:firstLine="720"/>
        <w:jc w:val="both"/>
      </w:pPr>
      <w:r w:rsidRPr="00707605">
        <w:rPr>
          <w:i/>
          <w:iCs/>
        </w:rPr>
        <w:t xml:space="preserve">Căn cứ </w:t>
      </w:r>
      <w:bookmarkStart w:id="1" w:name="tvpllink_khhhnejlqt"/>
      <w:r w:rsidRPr="00707605">
        <w:rPr>
          <w:i/>
          <w:iCs/>
        </w:rPr>
        <w:t>Hiến pháp nước Cộng hòa xã hội chủ nghĩa Việt Nam</w:t>
      </w:r>
      <w:bookmarkEnd w:id="1"/>
      <w:r w:rsidRPr="00707605">
        <w:rPr>
          <w:i/>
          <w:iCs/>
        </w:rPr>
        <w:t xml:space="preserve"> đã được sửa đổi, bổ sung một số điều theo Nghị quyết số </w:t>
      </w:r>
      <w:bookmarkStart w:id="2" w:name="tvpllink_cpjxhzionh"/>
      <w:r w:rsidRPr="00707605">
        <w:rPr>
          <w:i/>
          <w:iCs/>
        </w:rPr>
        <w:t>203/2025/QH15</w:t>
      </w:r>
      <w:bookmarkEnd w:id="2"/>
      <w:r w:rsidRPr="00707605">
        <w:rPr>
          <w:i/>
          <w:iCs/>
        </w:rPr>
        <w:t>;</w:t>
      </w:r>
    </w:p>
    <w:p w14:paraId="0159BC13" w14:textId="77777777" w:rsidR="00707605" w:rsidRDefault="00707605" w:rsidP="00707605">
      <w:pPr>
        <w:spacing w:before="120" w:after="120" w:line="360" w:lineRule="exact"/>
        <w:ind w:firstLine="720"/>
        <w:jc w:val="both"/>
        <w:rPr>
          <w:i/>
          <w:iCs/>
        </w:rPr>
      </w:pPr>
      <w:r w:rsidRPr="00707605">
        <w:rPr>
          <w:i/>
          <w:iCs/>
        </w:rPr>
        <w:t xml:space="preserve">Căn cứ </w:t>
      </w:r>
      <w:bookmarkStart w:id="3" w:name="tvpllink_guhkadvvas"/>
      <w:r w:rsidRPr="00707605">
        <w:rPr>
          <w:i/>
          <w:iCs/>
        </w:rPr>
        <w:t>Luật Tổ chức Quốc hội số 57/2014/QH13</w:t>
      </w:r>
      <w:bookmarkEnd w:id="3"/>
      <w:r w:rsidRPr="00707605">
        <w:rPr>
          <w:i/>
          <w:iCs/>
        </w:rPr>
        <w:t xml:space="preserve"> đã được sửa đổi, bổ sung một số điều theo Luật số </w:t>
      </w:r>
      <w:bookmarkStart w:id="4" w:name="tvpllink_fztfrytpfv"/>
      <w:r w:rsidRPr="00707605">
        <w:rPr>
          <w:i/>
          <w:iCs/>
        </w:rPr>
        <w:t>65/2020/QH14</w:t>
      </w:r>
      <w:bookmarkEnd w:id="4"/>
      <w:r w:rsidRPr="00707605">
        <w:rPr>
          <w:i/>
          <w:iCs/>
        </w:rPr>
        <w:t xml:space="preserve"> và Luật số </w:t>
      </w:r>
      <w:bookmarkStart w:id="5" w:name="tvpllink_pybigtfrgb"/>
      <w:r w:rsidRPr="00707605">
        <w:rPr>
          <w:i/>
          <w:iCs/>
        </w:rPr>
        <w:t>62/2025/QH15</w:t>
      </w:r>
      <w:bookmarkEnd w:id="5"/>
      <w:r w:rsidRPr="00707605">
        <w:rPr>
          <w:i/>
          <w:iCs/>
        </w:rPr>
        <w:t>;</w:t>
      </w:r>
    </w:p>
    <w:p w14:paraId="6A90D022" w14:textId="3B7AD29A" w:rsidR="00707605" w:rsidRPr="00707605" w:rsidRDefault="00707605" w:rsidP="00707605">
      <w:pPr>
        <w:spacing w:before="120" w:after="120" w:line="360" w:lineRule="exact"/>
        <w:ind w:firstLine="720"/>
        <w:jc w:val="both"/>
      </w:pPr>
      <w:r w:rsidRPr="00707605">
        <w:rPr>
          <w:i/>
          <w:iCs/>
        </w:rPr>
        <w:t xml:space="preserve">Căn cứ </w:t>
      </w:r>
      <w:bookmarkStart w:id="6" w:name="tvpllink_wmctndtokn"/>
      <w:r w:rsidRPr="00707605">
        <w:rPr>
          <w:i/>
          <w:iCs/>
        </w:rPr>
        <w:t>Luật Ban hành văn bản quy phạm pháp luật số 64/2025/QH15</w:t>
      </w:r>
      <w:bookmarkEnd w:id="6"/>
      <w:r w:rsidR="00CE5A1D">
        <w:rPr>
          <w:i/>
          <w:iCs/>
        </w:rPr>
        <w:t xml:space="preserve"> đã được sửa đổi, bổ sung </w:t>
      </w:r>
      <w:r w:rsidR="008007F0">
        <w:rPr>
          <w:i/>
          <w:iCs/>
        </w:rPr>
        <w:t>theo Luật số 87/2025/QH15</w:t>
      </w:r>
      <w:r w:rsidR="00CE5A1D">
        <w:rPr>
          <w:i/>
          <w:iCs/>
        </w:rPr>
        <w:t>.</w:t>
      </w:r>
    </w:p>
    <w:p w14:paraId="0AFF2E72" w14:textId="77777777" w:rsidR="00707605" w:rsidRDefault="00707605" w:rsidP="005D5170">
      <w:pPr>
        <w:spacing w:after="0" w:line="240" w:lineRule="auto"/>
        <w:jc w:val="center"/>
        <w:rPr>
          <w:b/>
          <w:bCs/>
        </w:rPr>
      </w:pPr>
    </w:p>
    <w:p w14:paraId="072C94BE" w14:textId="4F298A23" w:rsidR="00707605" w:rsidRDefault="00707605" w:rsidP="005D5170">
      <w:pPr>
        <w:spacing w:after="0" w:line="240" w:lineRule="auto"/>
        <w:jc w:val="center"/>
        <w:rPr>
          <w:b/>
          <w:bCs/>
        </w:rPr>
      </w:pPr>
      <w:r>
        <w:rPr>
          <w:b/>
          <w:bCs/>
        </w:rPr>
        <w:t>QUYẾT NGHỊ</w:t>
      </w:r>
      <w:r w:rsidR="00FB39F5">
        <w:rPr>
          <w:b/>
          <w:bCs/>
        </w:rPr>
        <w:t>:</w:t>
      </w:r>
    </w:p>
    <w:p w14:paraId="23A01AB1" w14:textId="5723BCD7" w:rsidR="00C50857" w:rsidRDefault="00C50857" w:rsidP="005D5170">
      <w:pPr>
        <w:spacing w:after="0" w:line="240" w:lineRule="auto"/>
        <w:jc w:val="both"/>
        <w:rPr>
          <w:b/>
          <w:bCs/>
        </w:rPr>
      </w:pPr>
    </w:p>
    <w:p w14:paraId="61F2E29D" w14:textId="4AEE2EB3" w:rsidR="005D5170" w:rsidRPr="005D5170" w:rsidRDefault="005D5170" w:rsidP="005D5170">
      <w:pPr>
        <w:spacing w:before="120" w:after="120" w:line="360" w:lineRule="exact"/>
        <w:ind w:firstLine="720"/>
        <w:jc w:val="both"/>
        <w:outlineLvl w:val="0"/>
        <w:rPr>
          <w:b/>
          <w:bCs/>
        </w:rPr>
      </w:pPr>
      <w:r w:rsidRPr="005D5170">
        <w:rPr>
          <w:b/>
          <w:bCs/>
        </w:rPr>
        <w:t>Điều 1. Phạm vi điều chỉnh</w:t>
      </w:r>
    </w:p>
    <w:p w14:paraId="2DC9CFE1" w14:textId="3ACFA763" w:rsidR="005D5170" w:rsidRDefault="005D5170" w:rsidP="005D5170">
      <w:pPr>
        <w:spacing w:before="120" w:after="120" w:line="360" w:lineRule="exact"/>
        <w:ind w:firstLine="720"/>
        <w:jc w:val="both"/>
      </w:pPr>
      <w:r w:rsidRPr="005D5170">
        <w:t xml:space="preserve">Nghị quyết này quy định </w:t>
      </w:r>
      <w:r w:rsidR="00E564A8" w:rsidRPr="00E564A8">
        <w:t xml:space="preserve">một số giải pháp đột phá, tăng cường bảo vệ, chăm sóc và nâng cao sức khỏe </w:t>
      </w:r>
      <w:r w:rsidR="009268F2">
        <w:t>N</w:t>
      </w:r>
      <w:r w:rsidR="00E564A8" w:rsidRPr="00E564A8">
        <w:t>hân dân</w:t>
      </w:r>
      <w:r w:rsidR="00A111E2">
        <w:t>.</w:t>
      </w:r>
    </w:p>
    <w:p w14:paraId="3029B36B" w14:textId="3E669524" w:rsidR="005D5170" w:rsidRPr="005D5170" w:rsidRDefault="005D5170" w:rsidP="005D5170">
      <w:pPr>
        <w:spacing w:before="120" w:after="120" w:line="360" w:lineRule="exact"/>
        <w:ind w:firstLine="720"/>
        <w:jc w:val="both"/>
        <w:outlineLvl w:val="0"/>
        <w:rPr>
          <w:b/>
          <w:bCs/>
        </w:rPr>
      </w:pPr>
      <w:r w:rsidRPr="005D5170">
        <w:rPr>
          <w:b/>
          <w:bCs/>
        </w:rPr>
        <w:t xml:space="preserve">Điều 2. </w:t>
      </w:r>
      <w:r w:rsidR="00FA2940">
        <w:rPr>
          <w:b/>
          <w:bCs/>
        </w:rPr>
        <w:t>N</w:t>
      </w:r>
      <w:r w:rsidRPr="005D5170">
        <w:rPr>
          <w:b/>
          <w:bCs/>
        </w:rPr>
        <w:t>guyên tắc thực hiện</w:t>
      </w:r>
    </w:p>
    <w:p w14:paraId="5B972A20" w14:textId="2079F1C7" w:rsidR="004D0EF1" w:rsidRDefault="004D0EF1" w:rsidP="002476B9">
      <w:pPr>
        <w:spacing w:before="120" w:after="120" w:line="360" w:lineRule="exact"/>
        <w:ind w:firstLine="720"/>
        <w:jc w:val="both"/>
      </w:pPr>
      <w:r>
        <w:t xml:space="preserve">1. </w:t>
      </w:r>
      <w:r w:rsidR="00B82495" w:rsidRPr="00B82495">
        <w:t>Bảo vệ, chăm sóc và nâng cao sức khoẻ là bổn phận của mỗi người dân, mỗi gia đình và cộng đồng, là trách nhiệm của các cấp uỷ đảng, chính quyền, Mặt trận Tổ quốc, các đoàn thể nhân dân và các tổ chức xã hội, trong đó ngành y tế giữ vai trò nòng cốt về chuyên môn và kỹ thuật</w:t>
      </w:r>
      <w:r w:rsidR="002476B9">
        <w:t>.</w:t>
      </w:r>
    </w:p>
    <w:p w14:paraId="3D844FF6" w14:textId="4DF3D358" w:rsidR="00B82495" w:rsidRPr="008A6BEC" w:rsidRDefault="00B82495" w:rsidP="00B82495">
      <w:pPr>
        <w:spacing w:before="80" w:after="80" w:line="340" w:lineRule="exact"/>
        <w:ind w:firstLine="720"/>
        <w:jc w:val="both"/>
        <w:rPr>
          <w:lang w:val="x-none"/>
        </w:rPr>
      </w:pPr>
      <w:r>
        <w:t>2.</w:t>
      </w:r>
      <w:r w:rsidRPr="008A6BEC">
        <w:t xml:space="preserve"> </w:t>
      </w:r>
      <w:r w:rsidRPr="008A6BEC">
        <w:rPr>
          <w:lang w:val="x-none"/>
        </w:rPr>
        <w:t xml:space="preserve">Bảo đảm tính hành động và đột phá; lựa chọn những vấn đề cốt lõi, đề xuất những chủ trương, giải pháp mạnh mẽ hơn nữa, tạo đột phá thực sự, chấn hưng nền </w:t>
      </w:r>
      <w:r>
        <w:rPr>
          <w:lang w:val="x-none"/>
        </w:rPr>
        <w:t>y tế</w:t>
      </w:r>
      <w:r w:rsidRPr="008A6BEC">
        <w:rPr>
          <w:lang w:val="x-none"/>
        </w:rPr>
        <w:t xml:space="preserve"> nước nhà trong giai đoạn tới. </w:t>
      </w:r>
    </w:p>
    <w:p w14:paraId="17FC5574" w14:textId="771103D7" w:rsidR="00B82495" w:rsidRDefault="00B82495" w:rsidP="00B82495">
      <w:pPr>
        <w:spacing w:before="80" w:after="80" w:line="340" w:lineRule="exact"/>
        <w:ind w:firstLine="720"/>
        <w:jc w:val="both"/>
        <w:rPr>
          <w:lang w:val="x-none"/>
        </w:rPr>
      </w:pPr>
      <w:r>
        <w:t>3.</w:t>
      </w:r>
      <w:r w:rsidRPr="008A6BEC">
        <w:t xml:space="preserve"> </w:t>
      </w:r>
      <w:r w:rsidRPr="008A6BEC">
        <w:rPr>
          <w:lang w:val="x-none"/>
        </w:rPr>
        <w:t>Bảo đảm tính khả thi, các mục tiêu phải phù hợp với trình độ và điều kiện đất nước trong từng giai đoạn; mỗi sự thay đổi cần nghiên cứu kỹ và tuyên truyền đầy đủ để tạo đồng thuận cao trong tổ chức thực hiện.</w:t>
      </w:r>
    </w:p>
    <w:p w14:paraId="7DCD50B9" w14:textId="1F457D99" w:rsidR="007F2081" w:rsidRPr="007F2081" w:rsidRDefault="007F2081" w:rsidP="00F20C01">
      <w:pPr>
        <w:spacing w:before="120" w:after="120" w:line="370" w:lineRule="exact"/>
        <w:ind w:firstLine="720"/>
        <w:jc w:val="both"/>
        <w:outlineLvl w:val="0"/>
        <w:rPr>
          <w:b/>
          <w:bCs/>
        </w:rPr>
      </w:pPr>
      <w:r w:rsidRPr="007F2081">
        <w:rPr>
          <w:b/>
          <w:bCs/>
        </w:rPr>
        <w:t xml:space="preserve">Điều 3. </w:t>
      </w:r>
      <w:r w:rsidR="00F63D67" w:rsidRPr="00F63D67">
        <w:rPr>
          <w:b/>
          <w:bCs/>
        </w:rPr>
        <w:t>Các giải pháp từng bước giảm chi phí y tế cho người dân</w:t>
      </w:r>
    </w:p>
    <w:p w14:paraId="321804AC" w14:textId="6CDDBA6E" w:rsidR="00E564A8" w:rsidRDefault="005C54D8" w:rsidP="00F20C01">
      <w:pPr>
        <w:spacing w:before="120" w:after="120" w:line="370" w:lineRule="exact"/>
        <w:ind w:firstLine="720"/>
        <w:jc w:val="both"/>
      </w:pPr>
      <w:r w:rsidRPr="00B82495">
        <w:t>1.</w:t>
      </w:r>
      <w:r w:rsidR="009D2C36" w:rsidRPr="00B82495">
        <w:t xml:space="preserve"> Thực hiện khám sức khỏe</w:t>
      </w:r>
      <w:r w:rsidR="001C0F27" w:rsidRPr="00B82495">
        <w:t xml:space="preserve"> định kỳ hoặc</w:t>
      </w:r>
      <w:r w:rsidR="009D2C36" w:rsidRPr="00B82495">
        <w:t xml:space="preserve"> khám sàng lọc</w:t>
      </w:r>
      <w:r w:rsidR="001C0F27" w:rsidRPr="00B82495">
        <w:t xml:space="preserve"> miễn phí ít nhất mỗi năm 01 lần</w:t>
      </w:r>
      <w:r w:rsidR="00AB7B40" w:rsidRPr="00B82495">
        <w:t xml:space="preserve"> </w:t>
      </w:r>
      <w:r w:rsidR="00AB7B40" w:rsidRPr="00B82495">
        <w:rPr>
          <w:lang w:val="vi-VN"/>
        </w:rPr>
        <w:t>theo nhóm đối tượng và lộ trình ưu tiên</w:t>
      </w:r>
      <w:r w:rsidR="001C0F27" w:rsidRPr="00B82495">
        <w:t>.</w:t>
      </w:r>
      <w:r w:rsidR="00CE590D">
        <w:t xml:space="preserve"> </w:t>
      </w:r>
    </w:p>
    <w:p w14:paraId="66A7E858" w14:textId="460B3416" w:rsidR="00CE590D" w:rsidRDefault="00C52D3A" w:rsidP="00F02149">
      <w:pPr>
        <w:spacing w:before="120" w:after="120" w:line="350" w:lineRule="exact"/>
        <w:ind w:firstLine="720"/>
        <w:jc w:val="both"/>
      </w:pPr>
      <w:r w:rsidRPr="00B82495">
        <w:rPr>
          <w:lang w:val="vi-VN"/>
        </w:rPr>
        <w:lastRenderedPageBreak/>
        <w:t>Từ năm 202</w:t>
      </w:r>
      <w:r w:rsidR="00CF7664">
        <w:t>6</w:t>
      </w:r>
      <w:r w:rsidR="00CE590D">
        <w:t xml:space="preserve">, tiếp tục triển khai hoạt động khám sức khỏe định kỳ, khám sàng lọc cho các đối tượng theo quy định của pháp luật; ngân sách nhà nước </w:t>
      </w:r>
      <w:r w:rsidR="00CE590D" w:rsidRPr="00B82495">
        <w:t xml:space="preserve">bảo đảm kinh phí </w:t>
      </w:r>
      <w:r w:rsidR="00CE590D">
        <w:t xml:space="preserve">thông qua Quỹ Bảo hiểm y tế để </w:t>
      </w:r>
      <w:r w:rsidR="00CE590D" w:rsidRPr="00B82495">
        <w:t xml:space="preserve">thực hiện khám sức </w:t>
      </w:r>
      <w:r w:rsidR="00CE590D" w:rsidRPr="00E564A8">
        <w:t xml:space="preserve">khỏe định kỳ </w:t>
      </w:r>
      <w:r w:rsidR="00CE590D" w:rsidRPr="00B82495">
        <w:t xml:space="preserve">hoặc khám sàng lọc </w:t>
      </w:r>
      <w:r w:rsidR="00CE590D" w:rsidRPr="00E564A8">
        <w:t xml:space="preserve">miễn phí ít nhất mỗi năm 01 lần cho </w:t>
      </w:r>
      <w:r w:rsidR="00CE590D">
        <w:t>các đối tượng chưa được pháp luật quy định về nguồn kinh phí bảo đảm cho việc khám sức khỏe định kỳ.</w:t>
      </w:r>
    </w:p>
    <w:p w14:paraId="4945B441" w14:textId="2DA25D50" w:rsidR="00B82495" w:rsidRDefault="009D2C36" w:rsidP="00F02149">
      <w:pPr>
        <w:spacing w:before="120" w:after="120" w:line="350" w:lineRule="exact"/>
        <w:ind w:firstLine="720"/>
        <w:jc w:val="both"/>
      </w:pPr>
      <w:r w:rsidRPr="00E564A8">
        <w:t>2. Miễn viện phí ở mức cơ bản trong phạm vi quyền lợi bảo hiểm y tế theo lộ trình, phù hợp với điều kiện phát triển kinh tế - xã hội của đất nước</w:t>
      </w:r>
      <w:r w:rsidR="001A7DC3" w:rsidRPr="00E564A8">
        <w:t>.</w:t>
      </w:r>
      <w:r w:rsidRPr="00E564A8">
        <w:t xml:space="preserve"> </w:t>
      </w:r>
      <w:r w:rsidR="00B82495" w:rsidRPr="00E564A8">
        <w:rPr>
          <w:lang w:val="vi-VN"/>
        </w:rPr>
        <w:t>Từ năm 202</w:t>
      </w:r>
      <w:r w:rsidR="00B82495" w:rsidRPr="00E564A8">
        <w:t>7, thực hiện tăng mức hưởng trong phạm vi quyền lợi bảo hiểm y tế từ 95% lên 100% cho đối tượng người thuộc hộ gia đình cận nghèo quy định tại điểm a khoản 4 Điều 12 Luật Bảo hiểm y tế</w:t>
      </w:r>
      <w:r w:rsidR="008A59EE">
        <w:t xml:space="preserve"> và</w:t>
      </w:r>
      <w:r w:rsidR="00B82495" w:rsidRPr="00E564A8">
        <w:t xml:space="preserve"> người </w:t>
      </w:r>
      <w:r w:rsidR="00024E40">
        <w:t xml:space="preserve">cao tuổi </w:t>
      </w:r>
      <w:r w:rsidR="00B82495" w:rsidRPr="00E564A8">
        <w:t xml:space="preserve">từ đủ </w:t>
      </w:r>
      <w:r w:rsidR="00CE590D">
        <w:t>75</w:t>
      </w:r>
      <w:r w:rsidR="00B82495" w:rsidRPr="00E564A8">
        <w:t xml:space="preserve"> tuổi trở lên đang hưởng trợ cấp hưu trí xã hội.</w:t>
      </w:r>
    </w:p>
    <w:p w14:paraId="62CF7EAF" w14:textId="7DDA1F13" w:rsidR="00CF7664" w:rsidRPr="00E564A8" w:rsidRDefault="00CF7664" w:rsidP="00F02149">
      <w:pPr>
        <w:spacing w:before="120" w:after="120" w:line="350" w:lineRule="exact"/>
        <w:ind w:firstLine="720"/>
        <w:jc w:val="both"/>
      </w:pPr>
      <w:r>
        <w:t>3. Giao Chính phủ tổ chức thực hiện t</w:t>
      </w:r>
      <w:r w:rsidRPr="00F93FAB">
        <w:t>hí điểm, đa dạng hóa các gói bảo hiểm y tế, bảo hiểm y tế bổ sung theo nhu cầu của người dân</w:t>
      </w:r>
      <w:r>
        <w:t>.</w:t>
      </w:r>
    </w:p>
    <w:p w14:paraId="24566E07" w14:textId="3F4A2685" w:rsidR="00E564A8" w:rsidRDefault="00E564A8" w:rsidP="00F02149">
      <w:pPr>
        <w:spacing w:before="120" w:after="120" w:line="350" w:lineRule="exact"/>
        <w:ind w:firstLine="720"/>
        <w:jc w:val="both"/>
        <w:outlineLvl w:val="0"/>
        <w:rPr>
          <w:b/>
          <w:bCs/>
        </w:rPr>
      </w:pPr>
      <w:bookmarkStart w:id="7" w:name="dieu_7"/>
      <w:r w:rsidRPr="009D0EEA">
        <w:rPr>
          <w:b/>
          <w:bCs/>
        </w:rPr>
        <w:t xml:space="preserve">Điều </w:t>
      </w:r>
      <w:r>
        <w:rPr>
          <w:b/>
          <w:bCs/>
        </w:rPr>
        <w:t>4</w:t>
      </w:r>
      <w:r w:rsidRPr="009D0EEA">
        <w:rPr>
          <w:b/>
          <w:bCs/>
        </w:rPr>
        <w:t xml:space="preserve">. </w:t>
      </w:r>
      <w:r>
        <w:rPr>
          <w:b/>
          <w:bCs/>
        </w:rPr>
        <w:t>Các giải pháp về c</w:t>
      </w:r>
      <w:r w:rsidRPr="009D0EEA">
        <w:rPr>
          <w:b/>
          <w:bCs/>
        </w:rPr>
        <w:t xml:space="preserve">hế độ, chính sách </w:t>
      </w:r>
      <w:bookmarkEnd w:id="7"/>
      <w:r>
        <w:rPr>
          <w:b/>
          <w:bCs/>
        </w:rPr>
        <w:t>về tiền lương và phụ cấp</w:t>
      </w:r>
      <w:r w:rsidR="00DE1C84">
        <w:rPr>
          <w:b/>
          <w:bCs/>
        </w:rPr>
        <w:t xml:space="preserve"> cho nhân viên y tế</w:t>
      </w:r>
    </w:p>
    <w:p w14:paraId="48C63866" w14:textId="48E284A1" w:rsidR="004A7E94" w:rsidRPr="000334C9" w:rsidRDefault="00E564A8" w:rsidP="00F02149">
      <w:pPr>
        <w:spacing w:before="120" w:after="120" w:line="350" w:lineRule="exact"/>
        <w:ind w:firstLine="720"/>
        <w:jc w:val="both"/>
        <w:rPr>
          <w:color w:val="EE0000"/>
        </w:rPr>
      </w:pPr>
      <w:r>
        <w:t xml:space="preserve">1. Xếp lương </w:t>
      </w:r>
      <w:r w:rsidRPr="009D0EEA">
        <w:t>từ bậc 2 của chức danh nghề nghiệp được tuyển dụng</w:t>
      </w:r>
      <w:r>
        <w:t xml:space="preserve"> đối với b</w:t>
      </w:r>
      <w:r w:rsidRPr="009D0EEA">
        <w:t>ác sỹ, bác sỹ y học dự phòng, dược sỹ</w:t>
      </w:r>
      <w:r>
        <w:t>.</w:t>
      </w:r>
      <w:r w:rsidR="00570F3A">
        <w:t xml:space="preserve"> </w:t>
      </w:r>
    </w:p>
    <w:p w14:paraId="67C61420" w14:textId="77777777" w:rsidR="00E564A8" w:rsidRDefault="00E564A8" w:rsidP="00F02149">
      <w:pPr>
        <w:spacing w:before="120" w:after="120" w:line="350" w:lineRule="exact"/>
        <w:ind w:firstLine="720"/>
        <w:jc w:val="both"/>
      </w:pPr>
      <w:r>
        <w:t>2. N</w:t>
      </w:r>
      <w:r w:rsidRPr="009D0EEA">
        <w:t>gười thường xuyên và trực tiếp làm chuyên môn</w:t>
      </w:r>
      <w:r>
        <w:t xml:space="preserve"> y tế thuộc </w:t>
      </w:r>
      <w:r w:rsidRPr="009D0EEA">
        <w:t xml:space="preserve">lĩnh vực tâm thần, pháp y, pháp y tâm thần, hồi sức cấp cứu, giải phẫu bệnh </w:t>
      </w:r>
      <w:r>
        <w:t xml:space="preserve">được hưởng </w:t>
      </w:r>
      <w:r w:rsidRPr="009D0EEA">
        <w:t>mức phụ cấp ưu đãi nghề</w:t>
      </w:r>
      <w:r>
        <w:t xml:space="preserve"> ở mức 100%.</w:t>
      </w:r>
    </w:p>
    <w:p w14:paraId="34FF039D" w14:textId="77777777" w:rsidR="00E564A8" w:rsidRDefault="00E564A8" w:rsidP="00F02149">
      <w:pPr>
        <w:spacing w:before="120" w:after="120" w:line="350" w:lineRule="exact"/>
        <w:ind w:firstLine="720"/>
        <w:jc w:val="both"/>
      </w:pPr>
      <w:r>
        <w:t>3. N</w:t>
      </w:r>
      <w:r w:rsidRPr="009D0EEA">
        <w:t>gười thường xuyên và trực tiếp làm chuyên môn y tế tại trạm y tế cấp xã, cơ sở y tế dự phòng</w:t>
      </w:r>
      <w:r w:rsidRPr="00A111E2">
        <w:t xml:space="preserve"> </w:t>
      </w:r>
      <w:r>
        <w:t xml:space="preserve">được hưởng </w:t>
      </w:r>
      <w:r w:rsidRPr="009D0EEA">
        <w:t>mức phụ cấp ưu đãi nghề</w:t>
      </w:r>
      <w:r>
        <w:t xml:space="preserve"> ở mức:</w:t>
      </w:r>
    </w:p>
    <w:p w14:paraId="363A7EC5" w14:textId="77777777" w:rsidR="00E564A8" w:rsidRDefault="00E564A8" w:rsidP="00F02149">
      <w:pPr>
        <w:spacing w:before="120" w:after="120" w:line="350" w:lineRule="exact"/>
        <w:ind w:firstLine="720"/>
        <w:jc w:val="both"/>
      </w:pPr>
      <w:r>
        <w:t xml:space="preserve">a) 100% đối với </w:t>
      </w:r>
      <w:r w:rsidRPr="009D0EEA">
        <w:t>khu vực vùng đồng bào dân tộc thiểu số và miền núi, vùng có điều kiện kinh tế - xã hội khó khăn, vùng có điều kiện kinh tế - xã hội đặc biệt khó khăn, biên giới, biển đảo</w:t>
      </w:r>
      <w:r>
        <w:t>;</w:t>
      </w:r>
    </w:p>
    <w:p w14:paraId="7D1E1225" w14:textId="7B5C90F8" w:rsidR="00E564A8" w:rsidRDefault="00E564A8" w:rsidP="00F02149">
      <w:pPr>
        <w:spacing w:before="120" w:after="120" w:line="350" w:lineRule="exact"/>
        <w:ind w:firstLine="720"/>
        <w:jc w:val="both"/>
      </w:pPr>
      <w:r>
        <w:t>b) Tối thiểu 70% đối với các trường hợp không thuộc điểm a Khoản này.</w:t>
      </w:r>
    </w:p>
    <w:p w14:paraId="3864CBF5" w14:textId="31027AAE" w:rsidR="00E564A8" w:rsidRPr="00DA1481" w:rsidRDefault="00E564A8" w:rsidP="00F02149">
      <w:pPr>
        <w:spacing w:before="120" w:after="120" w:line="350" w:lineRule="exact"/>
        <w:ind w:firstLine="720"/>
        <w:jc w:val="both"/>
        <w:outlineLvl w:val="0"/>
        <w:rPr>
          <w:b/>
          <w:bCs/>
          <w:spacing w:val="6"/>
        </w:rPr>
      </w:pPr>
      <w:r w:rsidRPr="00DA1481">
        <w:rPr>
          <w:b/>
          <w:bCs/>
          <w:spacing w:val="6"/>
        </w:rPr>
        <w:t>Điều 5. Các giải pháp về đào tạo chuyên sâu đặc thù trong lĩnh vực sức khỏe</w:t>
      </w:r>
    </w:p>
    <w:p w14:paraId="3A1B9264" w14:textId="77777777" w:rsidR="00E564A8" w:rsidRDefault="00E564A8" w:rsidP="00F02149">
      <w:pPr>
        <w:spacing w:before="120" w:after="120" w:line="350" w:lineRule="exact"/>
        <w:ind w:firstLine="720"/>
        <w:jc w:val="both"/>
      </w:pPr>
      <w:r>
        <w:t>1. Đào tạo chuyên sâu đặc thù trình độ sau đại học trong lĩnh vực sức khỏe bao gồm:</w:t>
      </w:r>
    </w:p>
    <w:p w14:paraId="4ECBE4AA" w14:textId="3A38686A" w:rsidR="00E564A8" w:rsidRDefault="00E564A8" w:rsidP="00F02149">
      <w:pPr>
        <w:spacing w:before="120" w:after="120" w:line="350" w:lineRule="exact"/>
        <w:ind w:firstLine="720"/>
        <w:jc w:val="both"/>
      </w:pPr>
      <w:r>
        <w:t xml:space="preserve">a) Đào tạo chuyên khoa là chương trình đào tạo trình độ sau đại học để cấp văn bằng </w:t>
      </w:r>
      <w:r w:rsidR="009268F2" w:rsidRPr="009268F2">
        <w:t>chuyên khoa</w:t>
      </w:r>
      <w:r w:rsidR="009268F2">
        <w:rPr>
          <w:b/>
          <w:bCs/>
        </w:rPr>
        <w:t xml:space="preserve"> </w:t>
      </w:r>
      <w:r>
        <w:t>thuộc hệ thống giáo dục quốc dân.</w:t>
      </w:r>
    </w:p>
    <w:p w14:paraId="7F101B88" w14:textId="1B8E59EF" w:rsidR="00E564A8" w:rsidRDefault="00E564A8" w:rsidP="00F02149">
      <w:pPr>
        <w:spacing w:before="120" w:after="120" w:line="350" w:lineRule="exact"/>
        <w:ind w:firstLine="720"/>
        <w:jc w:val="both"/>
      </w:pPr>
      <w:r>
        <w:t xml:space="preserve">b) Đào tạo chuyên khoa sâu là chương trình đào tạo sau đào tạo chuyên khoa để cấp chứng chỉ </w:t>
      </w:r>
      <w:r w:rsidR="009268F2">
        <w:t xml:space="preserve">chuyên khoa sâu </w:t>
      </w:r>
      <w:r>
        <w:t>thuộc hệ thống giáo dục quốc dân.</w:t>
      </w:r>
    </w:p>
    <w:p w14:paraId="27FD1F14" w14:textId="77777777" w:rsidR="00E564A8" w:rsidRPr="000E7B0C" w:rsidRDefault="00E564A8" w:rsidP="00F02149">
      <w:pPr>
        <w:spacing w:before="120" w:after="120" w:line="350" w:lineRule="exact"/>
        <w:ind w:firstLine="720"/>
        <w:jc w:val="both"/>
        <w:rPr>
          <w:spacing w:val="-4"/>
        </w:rPr>
      </w:pPr>
      <w:r w:rsidRPr="000E7B0C">
        <w:rPr>
          <w:spacing w:val="-4"/>
        </w:rPr>
        <w:t>2. Bộ Y tế quản lý đào tạo chuyên sâu đặc thù trình độ sau đại học, đào tạo thực hành trong lĩnh vực sức khỏe theo quy định của pháp luật về giáo dục và y tế.</w:t>
      </w:r>
    </w:p>
    <w:p w14:paraId="5A0B8DDD" w14:textId="462530A3" w:rsidR="00E564A8" w:rsidRPr="005D5170" w:rsidRDefault="00E564A8" w:rsidP="00F02149">
      <w:pPr>
        <w:spacing w:before="120" w:after="120" w:line="360" w:lineRule="exact"/>
        <w:ind w:firstLine="720"/>
        <w:jc w:val="both"/>
        <w:outlineLvl w:val="0"/>
        <w:rPr>
          <w:b/>
          <w:bCs/>
        </w:rPr>
      </w:pPr>
      <w:r w:rsidRPr="005D5170">
        <w:rPr>
          <w:b/>
          <w:bCs/>
        </w:rPr>
        <w:lastRenderedPageBreak/>
        <w:t xml:space="preserve">Điều </w:t>
      </w:r>
      <w:r>
        <w:rPr>
          <w:b/>
          <w:bCs/>
        </w:rPr>
        <w:t>6</w:t>
      </w:r>
      <w:r w:rsidRPr="005D5170">
        <w:rPr>
          <w:b/>
          <w:bCs/>
        </w:rPr>
        <w:t xml:space="preserve">. </w:t>
      </w:r>
      <w:r>
        <w:rPr>
          <w:b/>
          <w:bCs/>
        </w:rPr>
        <w:t>Các giải pháp về đất đai, thuế</w:t>
      </w:r>
      <w:r w:rsidR="00DE1C84">
        <w:rPr>
          <w:b/>
          <w:bCs/>
        </w:rPr>
        <w:t xml:space="preserve">, </w:t>
      </w:r>
      <w:r w:rsidR="008A59EE">
        <w:rPr>
          <w:b/>
          <w:bCs/>
        </w:rPr>
        <w:t>tài chính</w:t>
      </w:r>
    </w:p>
    <w:p w14:paraId="1E736050" w14:textId="15C3151B" w:rsidR="00CE590D" w:rsidRDefault="00E564A8" w:rsidP="00F02149">
      <w:pPr>
        <w:spacing w:before="120" w:after="120" w:line="360" w:lineRule="exact"/>
        <w:ind w:firstLine="720"/>
        <w:jc w:val="both"/>
      </w:pPr>
      <w:r>
        <w:t>1. C</w:t>
      </w:r>
      <w:r w:rsidRPr="007D7170">
        <w:rPr>
          <w:lang w:val="vi-VN"/>
        </w:rPr>
        <w:t>ho phép chuyển đổi mục đích sử dụng đất</w:t>
      </w:r>
      <w:r>
        <w:t xml:space="preserve"> từ các mục đích khác</w:t>
      </w:r>
      <w:r w:rsidRPr="007D7170">
        <w:rPr>
          <w:lang w:val="vi-VN"/>
        </w:rPr>
        <w:t xml:space="preserve"> sang đất dành cho y tế</w:t>
      </w:r>
      <w:r w:rsidR="00CE590D">
        <w:t xml:space="preserve"> ngoài các trường hợp quy định tại khoản 1, khoản 2 Điều 121 Luật Đất đai.</w:t>
      </w:r>
    </w:p>
    <w:p w14:paraId="7F32DE27" w14:textId="483A90ED" w:rsidR="00EA3A7D" w:rsidRDefault="00EA3A7D" w:rsidP="00F02149">
      <w:pPr>
        <w:spacing w:before="120" w:after="120" w:line="360" w:lineRule="exact"/>
        <w:ind w:firstLine="720"/>
        <w:jc w:val="both"/>
      </w:pPr>
      <w:r>
        <w:t xml:space="preserve">2. </w:t>
      </w:r>
      <w:r w:rsidRPr="00CF7664">
        <w:t>Không thu tiền sử dụng đất</w:t>
      </w:r>
      <w:r>
        <w:t>, g</w:t>
      </w:r>
      <w:r w:rsidRPr="007D7170">
        <w:rPr>
          <w:lang w:val="vi-VN"/>
        </w:rPr>
        <w:t>iảm tiền thuê đất, tiền thuế đất đối với các cơ sở y tế trong nước</w:t>
      </w:r>
      <w:r>
        <w:t>, bao gồm:</w:t>
      </w:r>
    </w:p>
    <w:p w14:paraId="0C431D35" w14:textId="58009186" w:rsidR="00EA3A7D" w:rsidRDefault="00EA3A7D" w:rsidP="00F02149">
      <w:pPr>
        <w:spacing w:before="120" w:after="120" w:line="360" w:lineRule="exact"/>
        <w:ind w:firstLine="720"/>
        <w:jc w:val="both"/>
      </w:pPr>
      <w:r>
        <w:t>a) Các cơ sở y tế dự phòng của Nhà nước;</w:t>
      </w:r>
    </w:p>
    <w:p w14:paraId="773F8A52" w14:textId="0BA298F4" w:rsidR="00EA3A7D" w:rsidRDefault="00EA3A7D" w:rsidP="00F02149">
      <w:pPr>
        <w:spacing w:before="120" w:after="120" w:line="360" w:lineRule="exact"/>
        <w:ind w:firstLine="720"/>
        <w:jc w:val="both"/>
      </w:pPr>
      <w:r>
        <w:t>b) Các cơ sở khám bệnh, chữa bệnh;</w:t>
      </w:r>
    </w:p>
    <w:p w14:paraId="613B1935" w14:textId="0774730E" w:rsidR="00EA3A7D" w:rsidRDefault="00EA3A7D" w:rsidP="00F02149">
      <w:pPr>
        <w:spacing w:before="120" w:after="120" w:line="360" w:lineRule="exact"/>
        <w:ind w:firstLine="720"/>
        <w:jc w:val="both"/>
      </w:pPr>
      <w:r>
        <w:t>c) Các cơ sở kiểm nghiệm thuốc, an toàn thực phẩm, thiết bị y tế của Nhà nước;</w:t>
      </w:r>
    </w:p>
    <w:p w14:paraId="49CBCBDA" w14:textId="7788A9D6" w:rsidR="00EA3A7D" w:rsidRDefault="00EA3A7D" w:rsidP="00F02149">
      <w:pPr>
        <w:spacing w:before="120" w:after="120" w:line="360" w:lineRule="exact"/>
        <w:ind w:firstLine="720"/>
        <w:jc w:val="both"/>
      </w:pPr>
      <w:r>
        <w:t>d) Các dự án đầu tư thuộc trường hợp quy định tại điểm k, điểm m khoản 1 Điều 16 Luật Đầu tư.</w:t>
      </w:r>
    </w:p>
    <w:p w14:paraId="14E0AEC6" w14:textId="7D28A1B3" w:rsidR="00DE1C84" w:rsidRDefault="00EA3A7D" w:rsidP="00F02149">
      <w:pPr>
        <w:spacing w:before="120" w:after="120" w:line="360" w:lineRule="exact"/>
        <w:ind w:firstLine="720"/>
        <w:jc w:val="both"/>
      </w:pPr>
      <w:r>
        <w:t>3</w:t>
      </w:r>
      <w:r w:rsidR="00E564A8">
        <w:t xml:space="preserve">. </w:t>
      </w:r>
      <w:r w:rsidR="00E564A8" w:rsidRPr="007D7170">
        <w:rPr>
          <w:lang w:val="vi-VN"/>
        </w:rPr>
        <w:t>Không áp dụng thuế thu nhập doanh nghiệp đối với các cơ sở y tế công lập, tư nhân hoạt động không vì mục tiêu lợi nhuận.</w:t>
      </w:r>
    </w:p>
    <w:p w14:paraId="0280A038" w14:textId="269BE682" w:rsidR="00770641" w:rsidRDefault="00EA3A7D" w:rsidP="00F02149">
      <w:pPr>
        <w:spacing w:before="120" w:after="120" w:line="360" w:lineRule="exact"/>
        <w:ind w:firstLine="720"/>
        <w:jc w:val="both"/>
        <w:rPr>
          <w:iCs/>
        </w:rPr>
      </w:pPr>
      <w:r>
        <w:t>4</w:t>
      </w:r>
      <w:r w:rsidR="00DE1C84">
        <w:t>. Ngân sách nhà nước bảo đảm kinh phí c</w:t>
      </w:r>
      <w:r w:rsidR="00DE1C84" w:rsidRPr="00962597">
        <w:t>hi thường xuyên</w:t>
      </w:r>
      <w:r w:rsidR="00DE1C84">
        <w:t>, chi</w:t>
      </w:r>
      <w:r w:rsidR="00DE1C84" w:rsidRPr="00962597">
        <w:t xml:space="preserve"> đầu tư cho y tế cơ sở, y tế dự phòng</w:t>
      </w:r>
      <w:r w:rsidR="00DE1C84">
        <w:t xml:space="preserve"> </w:t>
      </w:r>
      <w:r w:rsidR="00DE1C84" w:rsidRPr="00DE1C84">
        <w:t>không phụ thuộc vào mức độ tự chủ tài chính</w:t>
      </w:r>
      <w:r w:rsidR="00770641">
        <w:rPr>
          <w:iCs/>
        </w:rPr>
        <w:t xml:space="preserve"> và </w:t>
      </w:r>
      <w:r w:rsidR="00770641" w:rsidRPr="00770641">
        <w:t>hoạt động tiêm chủng chiến dịch đối với các vắc xin trong Chương trình Tiêm chủng mở rộng để chủ động phòng, chống dịch.</w:t>
      </w:r>
    </w:p>
    <w:p w14:paraId="3D2E165F" w14:textId="77777777" w:rsidR="001072BB" w:rsidRPr="004A6B20" w:rsidRDefault="001072BB" w:rsidP="00F02149">
      <w:pPr>
        <w:spacing w:before="120" w:after="120" w:line="360" w:lineRule="exact"/>
        <w:ind w:firstLine="720"/>
        <w:jc w:val="both"/>
        <w:outlineLvl w:val="0"/>
      </w:pPr>
      <w:bookmarkStart w:id="8" w:name="dieu_11"/>
      <w:r w:rsidRPr="004A6B20">
        <w:rPr>
          <w:b/>
          <w:bCs/>
        </w:rPr>
        <w:t xml:space="preserve">Điều </w:t>
      </w:r>
      <w:r>
        <w:rPr>
          <w:b/>
          <w:bCs/>
        </w:rPr>
        <w:t>7</w:t>
      </w:r>
      <w:r w:rsidRPr="004A6B20">
        <w:rPr>
          <w:b/>
          <w:bCs/>
        </w:rPr>
        <w:t>. Tổ chức thực hiện</w:t>
      </w:r>
      <w:bookmarkEnd w:id="8"/>
    </w:p>
    <w:p w14:paraId="2C1D1840" w14:textId="77777777" w:rsidR="001072BB" w:rsidRPr="00962597" w:rsidRDefault="001072BB" w:rsidP="00F02149">
      <w:pPr>
        <w:spacing w:before="120" w:after="120" w:line="360" w:lineRule="exact"/>
        <w:ind w:firstLine="720"/>
        <w:jc w:val="both"/>
      </w:pPr>
      <w:r>
        <w:t>1</w:t>
      </w:r>
      <w:r w:rsidRPr="00962597">
        <w:t xml:space="preserve">. Quốc hội quyết định giao cho Chính phủ mức ngân sách bảo đảm chi theo quy định tại </w:t>
      </w:r>
      <w:r>
        <w:t>Nghị quyết</w:t>
      </w:r>
      <w:r w:rsidRPr="00962597">
        <w:t xml:space="preserve"> này.</w:t>
      </w:r>
    </w:p>
    <w:p w14:paraId="73380BA4" w14:textId="77777777" w:rsidR="001072BB" w:rsidRDefault="001072BB" w:rsidP="00F02149">
      <w:pPr>
        <w:spacing w:before="120" w:after="120" w:line="360" w:lineRule="exact"/>
        <w:ind w:firstLine="720"/>
        <w:jc w:val="both"/>
      </w:pPr>
      <w:r>
        <w:t xml:space="preserve">2. Giao </w:t>
      </w:r>
      <w:r w:rsidRPr="004A6B20">
        <w:t>Chính phủ</w:t>
      </w:r>
      <w:r>
        <w:t xml:space="preserve"> h</w:t>
      </w:r>
      <w:r w:rsidRPr="004A6B20">
        <w:t>ướng dẫn thi hành Nghị quyết này</w:t>
      </w:r>
      <w:r>
        <w:t xml:space="preserve"> và thực hiện các nhiệm vụ sau đây:</w:t>
      </w:r>
    </w:p>
    <w:p w14:paraId="48237BDA" w14:textId="77777777" w:rsidR="001072BB" w:rsidRDefault="001072BB" w:rsidP="00F02149">
      <w:pPr>
        <w:spacing w:before="120" w:after="120" w:line="360" w:lineRule="exact"/>
        <w:ind w:firstLine="720"/>
        <w:jc w:val="both"/>
      </w:pPr>
      <w:r>
        <w:t>a)</w:t>
      </w:r>
      <w:r w:rsidRPr="00146B72">
        <w:rPr>
          <w:spacing w:val="-2"/>
        </w:rPr>
        <w:t xml:space="preserve"> </w:t>
      </w:r>
      <w:r>
        <w:rPr>
          <w:spacing w:val="-2"/>
        </w:rPr>
        <w:t>P</w:t>
      </w:r>
      <w:r w:rsidRPr="00B7672A">
        <w:rPr>
          <w:spacing w:val="-2"/>
        </w:rPr>
        <w:t>hân bổ, giao kịp thời, bảo đảm đủ ngân sách chi cho các nội dung quy định tại khoản 1 Điều này. Thủ tướng Chính phủ quyết định phân bổ chi tiết đối với các khoản chi Chính phủ chưa phân bổ để bảo đảm kịp thời, đủ ngân sách chi, đúng quy định của pháp luật</w:t>
      </w:r>
      <w:r>
        <w:rPr>
          <w:spacing w:val="-2"/>
        </w:rPr>
        <w:t>;</w:t>
      </w:r>
    </w:p>
    <w:p w14:paraId="14533BFB" w14:textId="77777777" w:rsidR="001072BB" w:rsidRDefault="001072BB" w:rsidP="00F02149">
      <w:pPr>
        <w:spacing w:before="120" w:after="120" w:line="360" w:lineRule="exact"/>
        <w:ind w:firstLine="720"/>
        <w:jc w:val="both"/>
        <w:rPr>
          <w:bCs/>
          <w:color w:val="000000"/>
        </w:rPr>
      </w:pPr>
      <w:r>
        <w:rPr>
          <w:bCs/>
          <w:color w:val="000000"/>
        </w:rPr>
        <w:t>b) C</w:t>
      </w:r>
      <w:r w:rsidRPr="00146B72">
        <w:rPr>
          <w:bCs/>
          <w:color w:val="000000"/>
        </w:rPr>
        <w:t>hỉ đạo Bộ Tài chính đánh giá tỷ lệ chi từ ngân sách Nhà nước cho các nhiệm vụ của Nghị quyết, bảo đảm nguyên tắc đủ nguồn lực từ ngân sánh Nhà nước để thực hiện Nghị quyết</w:t>
      </w:r>
      <w:r>
        <w:rPr>
          <w:bCs/>
          <w:color w:val="000000"/>
        </w:rPr>
        <w:t>.</w:t>
      </w:r>
    </w:p>
    <w:p w14:paraId="2A5641CD" w14:textId="21AC637D" w:rsidR="001072BB" w:rsidRPr="001072BB" w:rsidRDefault="001072BB" w:rsidP="00F02149">
      <w:pPr>
        <w:spacing w:before="120" w:after="120" w:line="360" w:lineRule="exact"/>
        <w:ind w:firstLine="720"/>
        <w:jc w:val="both"/>
      </w:pPr>
      <w:r>
        <w:t>3</w:t>
      </w:r>
      <w:r w:rsidRPr="004A6B20">
        <w:t xml:space="preserve">. </w:t>
      </w:r>
      <w:r>
        <w:t xml:space="preserve">Giao Hội đồng </w:t>
      </w:r>
      <w:r w:rsidR="009268F2">
        <w:t>N</w:t>
      </w:r>
      <w:r>
        <w:t>hân dân h</w:t>
      </w:r>
      <w:r w:rsidRPr="004A6B20">
        <w:t>ướng dẫn thi hành Nghị quyết này</w:t>
      </w:r>
      <w:r>
        <w:t xml:space="preserve"> </w:t>
      </w:r>
      <w:r w:rsidRPr="004A6B20">
        <w:rPr>
          <w:spacing w:val="2"/>
        </w:rPr>
        <w:t>trong phạm vi nhiệm vụ, quyền hạn của mình</w:t>
      </w:r>
      <w:r>
        <w:rPr>
          <w:spacing w:val="2"/>
        </w:rPr>
        <w:t>; chỉ đạo việc ư</w:t>
      </w:r>
      <w:r w:rsidRPr="007D7170">
        <w:rPr>
          <w:lang w:val="vi-VN"/>
        </w:rPr>
        <w:t>u tiên dành quỹ đất sạch, đất thu hồi của các dự án, cho phép chuyển đổi linh hoạt mục đích sử dụng đất sang đất dành cho y tế; tập trung giải phóng mặt bằng, giao đất sạch cho các dự án xây dựng, phát triển các cơ sở chăm sóc sức khỏe</w:t>
      </w:r>
      <w:r>
        <w:t>.</w:t>
      </w:r>
    </w:p>
    <w:p w14:paraId="6171E559" w14:textId="77777777" w:rsidR="001072BB" w:rsidRPr="004A6B20" w:rsidRDefault="001072BB" w:rsidP="00F02149">
      <w:pPr>
        <w:spacing w:before="120" w:after="120" w:line="360" w:lineRule="exact"/>
        <w:ind w:firstLine="720"/>
        <w:jc w:val="both"/>
      </w:pPr>
      <w:r>
        <w:rPr>
          <w:spacing w:val="2"/>
        </w:rPr>
        <w:lastRenderedPageBreak/>
        <w:t>4</w:t>
      </w:r>
      <w:r w:rsidRPr="004A6B20">
        <w:rPr>
          <w:spacing w:val="2"/>
        </w:rPr>
        <w:t xml:space="preserve">. Quốc hội, Ủy ban Thường vụ Quốc hội, Hội đồng Dân tộc, Ủy ban của Quốc hội, Đoàn đại biểu Quốc hội, đại biểu Quốc hội và Hội đồng </w:t>
      </w:r>
      <w:r>
        <w:rPr>
          <w:spacing w:val="2"/>
        </w:rPr>
        <w:t>Nhân dân</w:t>
      </w:r>
      <w:r w:rsidRPr="004A6B20">
        <w:rPr>
          <w:spacing w:val="2"/>
        </w:rPr>
        <w:t xml:space="preserve">, Ban của Hội đồng </w:t>
      </w:r>
      <w:r>
        <w:rPr>
          <w:spacing w:val="2"/>
        </w:rPr>
        <w:t>Nhân dân</w:t>
      </w:r>
      <w:r w:rsidRPr="004A6B20">
        <w:rPr>
          <w:spacing w:val="2"/>
        </w:rPr>
        <w:t xml:space="preserve">, đại biểu Hội đồng </w:t>
      </w:r>
      <w:r>
        <w:rPr>
          <w:spacing w:val="2"/>
        </w:rPr>
        <w:t>Nhân dân</w:t>
      </w:r>
      <w:r w:rsidRPr="004A6B20">
        <w:rPr>
          <w:spacing w:val="2"/>
        </w:rPr>
        <w:t>, Mặt trận Tổ quốc Việt Nam, trong phạm vi nhiệm vụ, quyền hạn của mình, giám sát việc thực hiện Nghị quyết này</w:t>
      </w:r>
      <w:r w:rsidRPr="004A6B20">
        <w:t>.</w:t>
      </w:r>
    </w:p>
    <w:p w14:paraId="69787D44" w14:textId="77777777" w:rsidR="001072BB" w:rsidRPr="004A6B20" w:rsidRDefault="001072BB" w:rsidP="001072BB">
      <w:pPr>
        <w:spacing w:before="120" w:after="120" w:line="360" w:lineRule="exact"/>
        <w:ind w:firstLine="720"/>
        <w:jc w:val="both"/>
        <w:outlineLvl w:val="0"/>
      </w:pPr>
      <w:bookmarkStart w:id="9" w:name="dieu_12"/>
      <w:r w:rsidRPr="004A6B20">
        <w:rPr>
          <w:b/>
          <w:bCs/>
        </w:rPr>
        <w:t xml:space="preserve">Điều </w:t>
      </w:r>
      <w:r>
        <w:rPr>
          <w:b/>
          <w:bCs/>
        </w:rPr>
        <w:t>8</w:t>
      </w:r>
      <w:r w:rsidRPr="004A6B20">
        <w:rPr>
          <w:b/>
          <w:bCs/>
        </w:rPr>
        <w:t>. Điều khoản thi hành</w:t>
      </w:r>
      <w:bookmarkEnd w:id="9"/>
    </w:p>
    <w:p w14:paraId="4E6A9629" w14:textId="7170DF83" w:rsidR="001072BB" w:rsidRPr="004A6B20" w:rsidRDefault="001072BB" w:rsidP="001072BB">
      <w:pPr>
        <w:spacing w:before="120" w:after="120" w:line="360" w:lineRule="exact"/>
        <w:ind w:firstLine="720"/>
        <w:jc w:val="both"/>
      </w:pPr>
      <w:r w:rsidRPr="004A6B20">
        <w:t xml:space="preserve">1. Nghị quyết này có hiệu lực thi hành từ ngày 01 tháng </w:t>
      </w:r>
      <w:r>
        <w:t>01</w:t>
      </w:r>
      <w:r w:rsidRPr="004A6B20">
        <w:t xml:space="preserve"> năm 202</w:t>
      </w:r>
      <w:r>
        <w:t>6</w:t>
      </w:r>
      <w:r w:rsidRPr="004A6B20">
        <w:t>.</w:t>
      </w:r>
    </w:p>
    <w:p w14:paraId="6A0F716B" w14:textId="77777777" w:rsidR="001072BB" w:rsidRPr="004A6B20" w:rsidRDefault="001072BB" w:rsidP="001072BB">
      <w:pPr>
        <w:spacing w:before="120" w:after="120" w:line="360" w:lineRule="exact"/>
        <w:ind w:firstLine="720"/>
        <w:jc w:val="both"/>
      </w:pPr>
      <w:r w:rsidRPr="004A6B20">
        <w:t>2. Trường hợp có quy định khác nhau về cùng một vấn đề giữa Nghị quyết này với luật, nghị quyết khác của Quốc hội thì áp dụng quy định của Nghị quyết này, trừ trường hợp quy định tại khoản 3 Điều này.</w:t>
      </w:r>
    </w:p>
    <w:p w14:paraId="6D7EFD7F" w14:textId="77777777" w:rsidR="001072BB" w:rsidRPr="004A6B20" w:rsidRDefault="001072BB" w:rsidP="001072BB">
      <w:pPr>
        <w:spacing w:before="120" w:after="120" w:line="360" w:lineRule="exact"/>
        <w:ind w:firstLine="720"/>
        <w:jc w:val="both"/>
      </w:pPr>
      <w:r w:rsidRPr="004A6B20">
        <w:t>3. Trường hợp văn bản khác có quy định cơ chế, chính sách ưu đãi hơn quy định của Nghị quyết này thì áp dụng cơ chế, chính sách đó.</w:t>
      </w:r>
    </w:p>
    <w:p w14:paraId="3BCFD2FE" w14:textId="77777777" w:rsidR="001072BB" w:rsidRDefault="001072BB" w:rsidP="001072BB">
      <w:pPr>
        <w:spacing w:before="120" w:after="120" w:line="360" w:lineRule="exact"/>
        <w:ind w:firstLine="720"/>
        <w:jc w:val="both"/>
      </w:pPr>
      <w:r w:rsidRPr="004A6B20">
        <w:rPr>
          <w:i/>
          <w:iCs/>
        </w:rPr>
        <w:t xml:space="preserve">Nghị quyết này được Quốc hội nước Cộng hòa xã hội chủ nghĩa Việt Nam khóa XV, Kỳ họp thứ </w:t>
      </w:r>
      <w:r>
        <w:rPr>
          <w:i/>
          <w:iCs/>
        </w:rPr>
        <w:t>10</w:t>
      </w:r>
      <w:r w:rsidRPr="004A6B20">
        <w:rPr>
          <w:i/>
          <w:iCs/>
        </w:rPr>
        <w:t xml:space="preserve"> thông qua ngày </w:t>
      </w:r>
      <w:r>
        <w:rPr>
          <w:i/>
          <w:iCs/>
        </w:rPr>
        <w:t xml:space="preserve">    </w:t>
      </w:r>
      <w:r w:rsidRPr="004A6B20">
        <w:rPr>
          <w:i/>
          <w:iCs/>
        </w:rPr>
        <w:t xml:space="preserve"> tháng </w:t>
      </w:r>
      <w:r>
        <w:rPr>
          <w:i/>
          <w:iCs/>
        </w:rPr>
        <w:t>10</w:t>
      </w:r>
      <w:r w:rsidRPr="004A6B20">
        <w:rPr>
          <w:i/>
          <w:iCs/>
        </w:rPr>
        <w:t xml:space="preserve"> năm 2025.</w:t>
      </w:r>
    </w:p>
    <w:p w14:paraId="2EDE3CCE" w14:textId="77777777" w:rsidR="001072BB" w:rsidRDefault="001072BB" w:rsidP="001072BB">
      <w:pPr>
        <w:spacing w:before="120" w:after="120" w:line="36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72BB" w14:paraId="7AD9C1DD" w14:textId="77777777" w:rsidTr="00537C5A">
        <w:tc>
          <w:tcPr>
            <w:tcW w:w="4531" w:type="dxa"/>
          </w:tcPr>
          <w:p w14:paraId="1ECF7F35" w14:textId="77777777" w:rsidR="001072BB" w:rsidRDefault="001072BB" w:rsidP="00537C5A">
            <w:pPr>
              <w:spacing w:before="120" w:after="120" w:line="360" w:lineRule="exact"/>
              <w:jc w:val="both"/>
            </w:pPr>
          </w:p>
        </w:tc>
        <w:tc>
          <w:tcPr>
            <w:tcW w:w="4531" w:type="dxa"/>
          </w:tcPr>
          <w:p w14:paraId="194FDBF7" w14:textId="77777777" w:rsidR="001072BB" w:rsidRPr="00E81D6E" w:rsidRDefault="001072BB" w:rsidP="00537C5A">
            <w:pPr>
              <w:spacing w:before="120" w:after="120" w:line="360" w:lineRule="exact"/>
              <w:jc w:val="center"/>
              <w:rPr>
                <w:b/>
                <w:bCs/>
              </w:rPr>
            </w:pPr>
            <w:r w:rsidRPr="00E81D6E">
              <w:rPr>
                <w:b/>
                <w:bCs/>
              </w:rPr>
              <w:t>CHỦ TỊCH QUỐC HỘI</w:t>
            </w:r>
          </w:p>
          <w:p w14:paraId="27B63FB0" w14:textId="77777777" w:rsidR="001072BB" w:rsidRDefault="001072BB" w:rsidP="00537C5A">
            <w:pPr>
              <w:spacing w:before="120" w:after="120" w:line="360" w:lineRule="exact"/>
              <w:jc w:val="center"/>
              <w:rPr>
                <w:b/>
                <w:bCs/>
              </w:rPr>
            </w:pPr>
          </w:p>
          <w:p w14:paraId="15B61C2E" w14:textId="77777777" w:rsidR="001072BB" w:rsidRDefault="001072BB" w:rsidP="00537C5A">
            <w:pPr>
              <w:spacing w:before="120" w:after="120" w:line="360" w:lineRule="exact"/>
              <w:jc w:val="center"/>
              <w:rPr>
                <w:b/>
                <w:bCs/>
              </w:rPr>
            </w:pPr>
          </w:p>
          <w:p w14:paraId="0663D101" w14:textId="77777777" w:rsidR="001072BB" w:rsidRPr="00E81D6E" w:rsidRDefault="001072BB" w:rsidP="00537C5A">
            <w:pPr>
              <w:spacing w:before="120" w:after="120" w:line="360" w:lineRule="exact"/>
              <w:jc w:val="center"/>
              <w:rPr>
                <w:b/>
                <w:bCs/>
              </w:rPr>
            </w:pPr>
          </w:p>
          <w:p w14:paraId="3E55C0FF" w14:textId="77777777" w:rsidR="001072BB" w:rsidRDefault="001072BB" w:rsidP="00537C5A">
            <w:pPr>
              <w:spacing w:before="120" w:after="120" w:line="360" w:lineRule="exact"/>
              <w:jc w:val="center"/>
            </w:pPr>
            <w:r w:rsidRPr="00E81D6E">
              <w:rPr>
                <w:b/>
                <w:bCs/>
              </w:rPr>
              <w:t>Trần Thanh Mẫn</w:t>
            </w:r>
          </w:p>
        </w:tc>
      </w:tr>
    </w:tbl>
    <w:p w14:paraId="4D6BA1CA" w14:textId="77777777" w:rsidR="00E81D6E" w:rsidRPr="00E81D6E" w:rsidRDefault="00E81D6E" w:rsidP="00E81D6E">
      <w:pPr>
        <w:spacing w:before="120" w:after="120" w:line="360" w:lineRule="exact"/>
        <w:jc w:val="both"/>
      </w:pPr>
    </w:p>
    <w:p w14:paraId="381D8609" w14:textId="20EA0D55" w:rsidR="00A111E2" w:rsidRDefault="00A111E2" w:rsidP="009D0EEA">
      <w:pPr>
        <w:spacing w:before="120" w:after="120" w:line="360" w:lineRule="exact"/>
        <w:ind w:firstLine="720"/>
        <w:jc w:val="both"/>
      </w:pPr>
    </w:p>
    <w:sectPr w:rsidR="00A111E2" w:rsidSect="00392961">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BD03D" w14:textId="77777777" w:rsidR="005A4C70" w:rsidRDefault="005A4C70" w:rsidP="00392961">
      <w:pPr>
        <w:spacing w:after="0" w:line="240" w:lineRule="auto"/>
      </w:pPr>
      <w:r>
        <w:separator/>
      </w:r>
    </w:p>
  </w:endnote>
  <w:endnote w:type="continuationSeparator" w:id="0">
    <w:p w14:paraId="31A2BCA0" w14:textId="77777777" w:rsidR="005A4C70" w:rsidRDefault="005A4C70" w:rsidP="0039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61B90" w14:textId="77777777" w:rsidR="005A4C70" w:rsidRDefault="005A4C70" w:rsidP="00392961">
      <w:pPr>
        <w:spacing w:after="0" w:line="240" w:lineRule="auto"/>
      </w:pPr>
      <w:r>
        <w:separator/>
      </w:r>
    </w:p>
  </w:footnote>
  <w:footnote w:type="continuationSeparator" w:id="0">
    <w:p w14:paraId="03D1B4BA" w14:textId="77777777" w:rsidR="005A4C70" w:rsidRDefault="005A4C70" w:rsidP="00392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698460"/>
      <w:docPartObj>
        <w:docPartGallery w:val="Page Numbers (Top of Page)"/>
        <w:docPartUnique/>
      </w:docPartObj>
    </w:sdtPr>
    <w:sdtContent>
      <w:p w14:paraId="1D501BB8" w14:textId="4328EE7A" w:rsidR="00392961" w:rsidRDefault="00392961">
        <w:pPr>
          <w:pStyle w:val="Header"/>
          <w:jc w:val="center"/>
        </w:pPr>
        <w:r>
          <w:fldChar w:fldCharType="begin"/>
        </w:r>
        <w:r>
          <w:instrText>PAGE   \* MERGEFORMAT</w:instrText>
        </w:r>
        <w:r>
          <w:fldChar w:fldCharType="separate"/>
        </w:r>
        <w:r>
          <w:rPr>
            <w:lang w:val="vi-VN"/>
          </w:rPr>
          <w:t>2</w:t>
        </w:r>
        <w:r>
          <w:fldChar w:fldCharType="end"/>
        </w:r>
      </w:p>
    </w:sdtContent>
  </w:sdt>
  <w:p w14:paraId="33787C88" w14:textId="77777777" w:rsidR="00392961" w:rsidRDefault="003929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70"/>
    <w:rsid w:val="000153E1"/>
    <w:rsid w:val="00024129"/>
    <w:rsid w:val="00024E40"/>
    <w:rsid w:val="000334C9"/>
    <w:rsid w:val="00065A85"/>
    <w:rsid w:val="000A79DB"/>
    <w:rsid w:val="000C0CE3"/>
    <w:rsid w:val="000C3EF9"/>
    <w:rsid w:val="000E7B0C"/>
    <w:rsid w:val="00105D4C"/>
    <w:rsid w:val="001072BB"/>
    <w:rsid w:val="0011596F"/>
    <w:rsid w:val="00146B72"/>
    <w:rsid w:val="00153BCD"/>
    <w:rsid w:val="001871A9"/>
    <w:rsid w:val="001A492C"/>
    <w:rsid w:val="001A7DC3"/>
    <w:rsid w:val="001C0F27"/>
    <w:rsid w:val="001D60F7"/>
    <w:rsid w:val="001E4EEE"/>
    <w:rsid w:val="00204FCD"/>
    <w:rsid w:val="00216B05"/>
    <w:rsid w:val="00223228"/>
    <w:rsid w:val="002433BE"/>
    <w:rsid w:val="002476B9"/>
    <w:rsid w:val="00264F30"/>
    <w:rsid w:val="00273DA5"/>
    <w:rsid w:val="002A265E"/>
    <w:rsid w:val="002F21E2"/>
    <w:rsid w:val="00300CDF"/>
    <w:rsid w:val="003245C2"/>
    <w:rsid w:val="00327657"/>
    <w:rsid w:val="003310C2"/>
    <w:rsid w:val="003312DC"/>
    <w:rsid w:val="0033286E"/>
    <w:rsid w:val="00334BB8"/>
    <w:rsid w:val="0037028F"/>
    <w:rsid w:val="003721C4"/>
    <w:rsid w:val="0038107A"/>
    <w:rsid w:val="00392961"/>
    <w:rsid w:val="00396407"/>
    <w:rsid w:val="00397F13"/>
    <w:rsid w:val="003A1EE3"/>
    <w:rsid w:val="003A45CF"/>
    <w:rsid w:val="003B53C2"/>
    <w:rsid w:val="003D2273"/>
    <w:rsid w:val="003E41F3"/>
    <w:rsid w:val="003E6AA8"/>
    <w:rsid w:val="003F7CBD"/>
    <w:rsid w:val="003F7FA2"/>
    <w:rsid w:val="0040796B"/>
    <w:rsid w:val="00412781"/>
    <w:rsid w:val="00415920"/>
    <w:rsid w:val="0043734A"/>
    <w:rsid w:val="0046779B"/>
    <w:rsid w:val="00470B28"/>
    <w:rsid w:val="00482958"/>
    <w:rsid w:val="00485E5E"/>
    <w:rsid w:val="00494D81"/>
    <w:rsid w:val="004A5929"/>
    <w:rsid w:val="004A6B20"/>
    <w:rsid w:val="004A7E94"/>
    <w:rsid w:val="004B13BA"/>
    <w:rsid w:val="004B50D1"/>
    <w:rsid w:val="004C6AC8"/>
    <w:rsid w:val="004D0EF1"/>
    <w:rsid w:val="004D4C5D"/>
    <w:rsid w:val="004E6D3B"/>
    <w:rsid w:val="004F1980"/>
    <w:rsid w:val="004F4B11"/>
    <w:rsid w:val="005104A0"/>
    <w:rsid w:val="00515F7F"/>
    <w:rsid w:val="005430B9"/>
    <w:rsid w:val="0056771B"/>
    <w:rsid w:val="00570F3A"/>
    <w:rsid w:val="005853D7"/>
    <w:rsid w:val="00590959"/>
    <w:rsid w:val="00594782"/>
    <w:rsid w:val="005A0C2F"/>
    <w:rsid w:val="005A4C70"/>
    <w:rsid w:val="005B6ACC"/>
    <w:rsid w:val="005C1F3F"/>
    <w:rsid w:val="005C54D8"/>
    <w:rsid w:val="005D5170"/>
    <w:rsid w:val="005E13B1"/>
    <w:rsid w:val="005F4239"/>
    <w:rsid w:val="00606DC6"/>
    <w:rsid w:val="00637CFC"/>
    <w:rsid w:val="00670A89"/>
    <w:rsid w:val="0068779F"/>
    <w:rsid w:val="00693496"/>
    <w:rsid w:val="006A1534"/>
    <w:rsid w:val="006A1587"/>
    <w:rsid w:val="006D3D59"/>
    <w:rsid w:val="006E409E"/>
    <w:rsid w:val="006E55F0"/>
    <w:rsid w:val="006F6AB5"/>
    <w:rsid w:val="00707605"/>
    <w:rsid w:val="00732611"/>
    <w:rsid w:val="00736134"/>
    <w:rsid w:val="007400E8"/>
    <w:rsid w:val="00747075"/>
    <w:rsid w:val="00750A44"/>
    <w:rsid w:val="00757620"/>
    <w:rsid w:val="007645F1"/>
    <w:rsid w:val="00770641"/>
    <w:rsid w:val="007C0DFF"/>
    <w:rsid w:val="007C654A"/>
    <w:rsid w:val="007D7170"/>
    <w:rsid w:val="007F2081"/>
    <w:rsid w:val="007F2F12"/>
    <w:rsid w:val="007F43DB"/>
    <w:rsid w:val="008007F0"/>
    <w:rsid w:val="00800808"/>
    <w:rsid w:val="008141A1"/>
    <w:rsid w:val="008628ED"/>
    <w:rsid w:val="008A1740"/>
    <w:rsid w:val="008A59EE"/>
    <w:rsid w:val="008D6A0D"/>
    <w:rsid w:val="008F30A0"/>
    <w:rsid w:val="00915CD2"/>
    <w:rsid w:val="00923FBB"/>
    <w:rsid w:val="009268F2"/>
    <w:rsid w:val="00940801"/>
    <w:rsid w:val="00956BC4"/>
    <w:rsid w:val="009609A7"/>
    <w:rsid w:val="00962597"/>
    <w:rsid w:val="009A0756"/>
    <w:rsid w:val="009A5D64"/>
    <w:rsid w:val="009C53D6"/>
    <w:rsid w:val="009D0EEA"/>
    <w:rsid w:val="009D2C36"/>
    <w:rsid w:val="009E1A5D"/>
    <w:rsid w:val="009E44D8"/>
    <w:rsid w:val="00A0396F"/>
    <w:rsid w:val="00A111E2"/>
    <w:rsid w:val="00A43844"/>
    <w:rsid w:val="00A90B90"/>
    <w:rsid w:val="00AB245D"/>
    <w:rsid w:val="00AB7B40"/>
    <w:rsid w:val="00AC181F"/>
    <w:rsid w:val="00AD2668"/>
    <w:rsid w:val="00AF7876"/>
    <w:rsid w:val="00B13C22"/>
    <w:rsid w:val="00B17B7E"/>
    <w:rsid w:val="00B42E15"/>
    <w:rsid w:val="00B4566A"/>
    <w:rsid w:val="00B46CA6"/>
    <w:rsid w:val="00B6451D"/>
    <w:rsid w:val="00B66947"/>
    <w:rsid w:val="00B743FC"/>
    <w:rsid w:val="00B7672A"/>
    <w:rsid w:val="00B777B9"/>
    <w:rsid w:val="00B80C46"/>
    <w:rsid w:val="00B82495"/>
    <w:rsid w:val="00BA654B"/>
    <w:rsid w:val="00BB6874"/>
    <w:rsid w:val="00BD0769"/>
    <w:rsid w:val="00C11B2A"/>
    <w:rsid w:val="00C31FA8"/>
    <w:rsid w:val="00C347F7"/>
    <w:rsid w:val="00C45DE8"/>
    <w:rsid w:val="00C47CFE"/>
    <w:rsid w:val="00C50857"/>
    <w:rsid w:val="00C52D3A"/>
    <w:rsid w:val="00C775AB"/>
    <w:rsid w:val="00C84E9A"/>
    <w:rsid w:val="00CB14EC"/>
    <w:rsid w:val="00CB373E"/>
    <w:rsid w:val="00CD3A4B"/>
    <w:rsid w:val="00CE03AC"/>
    <w:rsid w:val="00CE590D"/>
    <w:rsid w:val="00CE5A1D"/>
    <w:rsid w:val="00CF4C71"/>
    <w:rsid w:val="00CF603C"/>
    <w:rsid w:val="00CF6D23"/>
    <w:rsid w:val="00CF7664"/>
    <w:rsid w:val="00D176A7"/>
    <w:rsid w:val="00D21C9A"/>
    <w:rsid w:val="00D36BA3"/>
    <w:rsid w:val="00D40AB4"/>
    <w:rsid w:val="00D5591F"/>
    <w:rsid w:val="00D57A9A"/>
    <w:rsid w:val="00DA1481"/>
    <w:rsid w:val="00DB56ED"/>
    <w:rsid w:val="00DD7BF7"/>
    <w:rsid w:val="00DE1C84"/>
    <w:rsid w:val="00DE5B93"/>
    <w:rsid w:val="00E213DF"/>
    <w:rsid w:val="00E260AC"/>
    <w:rsid w:val="00E277DA"/>
    <w:rsid w:val="00E466D8"/>
    <w:rsid w:val="00E4739A"/>
    <w:rsid w:val="00E564A8"/>
    <w:rsid w:val="00E73981"/>
    <w:rsid w:val="00E7651F"/>
    <w:rsid w:val="00E81D6E"/>
    <w:rsid w:val="00E94545"/>
    <w:rsid w:val="00EA3A7D"/>
    <w:rsid w:val="00EC0008"/>
    <w:rsid w:val="00EC137F"/>
    <w:rsid w:val="00ED0334"/>
    <w:rsid w:val="00EE36F3"/>
    <w:rsid w:val="00F01E82"/>
    <w:rsid w:val="00F02149"/>
    <w:rsid w:val="00F07DFA"/>
    <w:rsid w:val="00F1481B"/>
    <w:rsid w:val="00F1506E"/>
    <w:rsid w:val="00F20C01"/>
    <w:rsid w:val="00F46F53"/>
    <w:rsid w:val="00F63D67"/>
    <w:rsid w:val="00F75F59"/>
    <w:rsid w:val="00F93FAB"/>
    <w:rsid w:val="00FA0273"/>
    <w:rsid w:val="00FA2940"/>
    <w:rsid w:val="00FA6B0F"/>
    <w:rsid w:val="00FB39F5"/>
    <w:rsid w:val="00FC6D4A"/>
    <w:rsid w:val="00FD5DF4"/>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4328"/>
  <w15:chartTrackingRefBased/>
  <w15:docId w15:val="{EE6D5A17-2C70-4E58-AFDB-B3914DB2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170"/>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D51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51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51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51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51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51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1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170"/>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5D51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51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51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51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51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51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5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7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D517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D5170"/>
    <w:pPr>
      <w:spacing w:before="160"/>
      <w:jc w:val="center"/>
    </w:pPr>
    <w:rPr>
      <w:i/>
      <w:iCs/>
      <w:color w:val="404040" w:themeColor="text1" w:themeTint="BF"/>
    </w:rPr>
  </w:style>
  <w:style w:type="character" w:customStyle="1" w:styleId="QuoteChar">
    <w:name w:val="Quote Char"/>
    <w:basedOn w:val="DefaultParagraphFont"/>
    <w:link w:val="Quote"/>
    <w:uiPriority w:val="29"/>
    <w:rsid w:val="005D5170"/>
    <w:rPr>
      <w:i/>
      <w:iCs/>
      <w:color w:val="404040" w:themeColor="text1" w:themeTint="BF"/>
    </w:rPr>
  </w:style>
  <w:style w:type="paragraph" w:styleId="ListParagraph">
    <w:name w:val="List Paragraph"/>
    <w:basedOn w:val="Normal"/>
    <w:uiPriority w:val="34"/>
    <w:qFormat/>
    <w:rsid w:val="005D5170"/>
    <w:pPr>
      <w:ind w:left="720"/>
      <w:contextualSpacing/>
    </w:pPr>
  </w:style>
  <w:style w:type="character" w:styleId="IntenseEmphasis">
    <w:name w:val="Intense Emphasis"/>
    <w:basedOn w:val="DefaultParagraphFont"/>
    <w:uiPriority w:val="21"/>
    <w:qFormat/>
    <w:rsid w:val="005D5170"/>
    <w:rPr>
      <w:i/>
      <w:iCs/>
      <w:color w:val="0F4761" w:themeColor="accent1" w:themeShade="BF"/>
    </w:rPr>
  </w:style>
  <w:style w:type="paragraph" w:styleId="IntenseQuote">
    <w:name w:val="Intense Quote"/>
    <w:basedOn w:val="Normal"/>
    <w:next w:val="Normal"/>
    <w:link w:val="IntenseQuoteChar"/>
    <w:uiPriority w:val="30"/>
    <w:qFormat/>
    <w:rsid w:val="005D5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170"/>
    <w:rPr>
      <w:i/>
      <w:iCs/>
      <w:color w:val="0F4761" w:themeColor="accent1" w:themeShade="BF"/>
    </w:rPr>
  </w:style>
  <w:style w:type="character" w:styleId="IntenseReference">
    <w:name w:val="Intense Reference"/>
    <w:basedOn w:val="DefaultParagraphFont"/>
    <w:uiPriority w:val="32"/>
    <w:qFormat/>
    <w:rsid w:val="005D5170"/>
    <w:rPr>
      <w:b/>
      <w:bCs/>
      <w:smallCaps/>
      <w:color w:val="0F4761" w:themeColor="accent1" w:themeShade="BF"/>
      <w:spacing w:val="5"/>
    </w:rPr>
  </w:style>
  <w:style w:type="character" w:styleId="Hyperlink">
    <w:name w:val="Hyperlink"/>
    <w:basedOn w:val="DefaultParagraphFont"/>
    <w:uiPriority w:val="99"/>
    <w:unhideWhenUsed/>
    <w:rsid w:val="004A6B20"/>
    <w:rPr>
      <w:color w:val="467886" w:themeColor="hyperlink"/>
      <w:u w:val="single"/>
    </w:rPr>
  </w:style>
  <w:style w:type="character" w:styleId="UnresolvedMention">
    <w:name w:val="Unresolved Mention"/>
    <w:basedOn w:val="DefaultParagraphFont"/>
    <w:uiPriority w:val="99"/>
    <w:semiHidden/>
    <w:unhideWhenUsed/>
    <w:rsid w:val="004A6B20"/>
    <w:rPr>
      <w:color w:val="605E5C"/>
      <w:shd w:val="clear" w:color="auto" w:fill="E1DFDD"/>
    </w:rPr>
  </w:style>
  <w:style w:type="table" w:styleId="TableGrid">
    <w:name w:val="Table Grid"/>
    <w:basedOn w:val="TableNormal"/>
    <w:uiPriority w:val="39"/>
    <w:rsid w:val="00E8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00E8"/>
    <w:pPr>
      <w:spacing w:after="0" w:line="240" w:lineRule="auto"/>
    </w:pPr>
  </w:style>
  <w:style w:type="character" w:styleId="CommentReference">
    <w:name w:val="annotation reference"/>
    <w:basedOn w:val="DefaultParagraphFont"/>
    <w:uiPriority w:val="99"/>
    <w:semiHidden/>
    <w:unhideWhenUsed/>
    <w:rsid w:val="007400E8"/>
    <w:rPr>
      <w:sz w:val="16"/>
      <w:szCs w:val="16"/>
    </w:rPr>
  </w:style>
  <w:style w:type="paragraph" w:styleId="CommentText">
    <w:name w:val="annotation text"/>
    <w:basedOn w:val="Normal"/>
    <w:link w:val="CommentTextChar"/>
    <w:uiPriority w:val="99"/>
    <w:unhideWhenUsed/>
    <w:rsid w:val="007400E8"/>
    <w:pPr>
      <w:spacing w:line="240" w:lineRule="auto"/>
    </w:pPr>
    <w:rPr>
      <w:sz w:val="20"/>
      <w:szCs w:val="20"/>
    </w:rPr>
  </w:style>
  <w:style w:type="character" w:customStyle="1" w:styleId="CommentTextChar">
    <w:name w:val="Comment Text Char"/>
    <w:basedOn w:val="DefaultParagraphFont"/>
    <w:link w:val="CommentText"/>
    <w:uiPriority w:val="99"/>
    <w:rsid w:val="007400E8"/>
    <w:rPr>
      <w:sz w:val="20"/>
      <w:szCs w:val="20"/>
    </w:rPr>
  </w:style>
  <w:style w:type="paragraph" w:styleId="CommentSubject">
    <w:name w:val="annotation subject"/>
    <w:basedOn w:val="CommentText"/>
    <w:next w:val="CommentText"/>
    <w:link w:val="CommentSubjectChar"/>
    <w:uiPriority w:val="99"/>
    <w:semiHidden/>
    <w:unhideWhenUsed/>
    <w:rsid w:val="007400E8"/>
    <w:rPr>
      <w:b/>
      <w:bCs/>
    </w:rPr>
  </w:style>
  <w:style w:type="character" w:customStyle="1" w:styleId="CommentSubjectChar">
    <w:name w:val="Comment Subject Char"/>
    <w:basedOn w:val="CommentTextChar"/>
    <w:link w:val="CommentSubject"/>
    <w:uiPriority w:val="99"/>
    <w:semiHidden/>
    <w:rsid w:val="007400E8"/>
    <w:rPr>
      <w:b/>
      <w:bCs/>
      <w:sz w:val="20"/>
      <w:szCs w:val="20"/>
    </w:rPr>
  </w:style>
  <w:style w:type="paragraph" w:styleId="Header">
    <w:name w:val="header"/>
    <w:basedOn w:val="Normal"/>
    <w:link w:val="HeaderChar"/>
    <w:uiPriority w:val="99"/>
    <w:unhideWhenUsed/>
    <w:rsid w:val="00392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961"/>
  </w:style>
  <w:style w:type="paragraph" w:styleId="Footer">
    <w:name w:val="footer"/>
    <w:basedOn w:val="Normal"/>
    <w:link w:val="FooterChar"/>
    <w:uiPriority w:val="99"/>
    <w:unhideWhenUsed/>
    <w:rsid w:val="00392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5878</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Rin Thanh PTSP TVNĐ</cp:lastModifiedBy>
  <cp:revision>2</cp:revision>
  <dcterms:created xsi:type="dcterms:W3CDTF">2025-09-26T08:02:00Z</dcterms:created>
  <dcterms:modified xsi:type="dcterms:W3CDTF">2025-09-26T08:02:00Z</dcterms:modified>
</cp:coreProperties>
</file>