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1E0" w:firstRow="1" w:lastRow="1" w:firstColumn="1" w:lastColumn="1" w:noHBand="0" w:noVBand="0"/>
      </w:tblPr>
      <w:tblGrid>
        <w:gridCol w:w="3242"/>
        <w:gridCol w:w="5814"/>
      </w:tblGrid>
      <w:tr>
        <w:trPr>
          <w:trHeight w:val="729"/>
          <w:jc w:val="center"/>
        </w:trPr>
        <w:tc>
          <w:tcPr>
            <w:tcW w:w="3242" w:type="dxa"/>
          </w:tcPr>
          <w:p>
            <w:pPr>
              <w:pStyle w:val="TableParagraph"/>
              <w:spacing w:line="280" w:lineRule="exact"/>
              <w:ind w:left="178" w:right="173"/>
              <w:jc w:val="center"/>
              <w:rPr>
                <w:b/>
                <w:sz w:val="26"/>
              </w:rPr>
            </w:pPr>
            <w:r>
              <w:rPr>
                <w:b/>
                <w:sz w:val="26"/>
                <w:lang w:val="vi-VN"/>
              </w:rPr>
              <w:t>HỘI ĐỒNG</w:t>
            </w:r>
            <w:r>
              <w:rPr>
                <w:b/>
                <w:spacing w:val="-1"/>
                <w:sz w:val="26"/>
              </w:rPr>
              <w:t xml:space="preserve"> </w:t>
            </w:r>
            <w:r>
              <w:rPr>
                <w:b/>
                <w:sz w:val="26"/>
              </w:rPr>
              <w:t>NHÂN</w:t>
            </w:r>
            <w:r>
              <w:rPr>
                <w:b/>
                <w:spacing w:val="-1"/>
                <w:sz w:val="26"/>
              </w:rPr>
              <w:t xml:space="preserve"> </w:t>
            </w:r>
            <w:r>
              <w:rPr>
                <w:b/>
                <w:sz w:val="26"/>
              </w:rPr>
              <w:t>DÂN</w:t>
            </w:r>
          </w:p>
          <w:p>
            <w:pPr>
              <w:pStyle w:val="TableParagraph"/>
              <w:spacing w:before="1"/>
              <w:ind w:left="181" w:right="173"/>
              <w:jc w:val="center"/>
              <w:rPr>
                <w:b/>
                <w:sz w:val="26"/>
              </w:rPr>
            </w:pPr>
            <w:r>
              <w:rPr>
                <w:b/>
                <w:noProof/>
                <w:sz w:val="26"/>
                <w:lang w:val="en-US"/>
              </w:rPr>
              <mc:AlternateContent>
                <mc:Choice Requires="wps">
                  <w:drawing>
                    <wp:anchor distT="0" distB="0" distL="114300" distR="114300" simplePos="0" relativeHeight="251660288" behindDoc="0" locked="0" layoutInCell="1" allowOverlap="1">
                      <wp:simplePos x="0" y="0"/>
                      <wp:positionH relativeFrom="column">
                        <wp:posOffset>559435</wp:posOffset>
                      </wp:positionH>
                      <wp:positionV relativeFrom="paragraph">
                        <wp:posOffset>191466</wp:posOffset>
                      </wp:positionV>
                      <wp:extent cx="9290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EEEEA0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15.1pt" to="11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qsQEAANMDAAAOAAAAZHJzL2Uyb0RvYy54bWysU01v2zAMvQ/ofxB0X+RkwLAa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25bj6QpOpyJRZciCl/BnSsHDpujS9jyFYeHlKmWpR6SSlh64tNaE1/&#10;b6ytTlkAuLWRHSQ9XZ7W5akI9yKLvIIUS+f1lI8WTqzfQDPTU6/rWr0u1cIplQKfL7zWU3aBaepg&#10;BjZ/Bp7zCxTqwv0NeEbUyujzDHbGY/xd9UUKfcq/KHCau0jwhP2xvmmVhjanKnfe8rKaL/0KX/7F&#10;3S8AAAD//wMAUEsDBBQABgAIAAAAIQCbf3PE3gAAAAgBAAAPAAAAZHJzL2Rvd25yZXYueG1sTI/B&#10;asMwEETvhfyD2EAvpZFjp8G4lkMw5NJDoXEJPSrWxjKxVsZSYufvq5JDepydYeZtvplMx644uNaS&#10;gOUiAoZUW9VSI+C72r2mwJyXpGRnCQXc0MGmmD3lMlN2pC+87n3DQgm5TArQ3vcZ567WaKRb2B4p&#10;eCc7GOmDHBquBjmGctPxOIrW3MiWwoKWPZYa6/P+YgT8NC/J7lBRNZb+87TW0+3w8VYK8Tyftu/A&#10;PE7+EYY//IAORWA62gspxzoBaboMSQFJFAMLfpysVsCO9wMvcv7/geIXAAD//wMAUEsBAi0AFAAG&#10;AAgAAAAhALaDOJL+AAAA4QEAABMAAAAAAAAAAAAAAAAAAAAAAFtDb250ZW50X1R5cGVzXS54bWxQ&#10;SwECLQAUAAYACAAAACEAOP0h/9YAAACUAQAACwAAAAAAAAAAAAAAAAAvAQAAX3JlbHMvLnJlbHNQ&#10;SwECLQAUAAYACAAAACEAvtbuqrEBAADTAwAADgAAAAAAAAAAAAAAAAAuAgAAZHJzL2Uyb0RvYy54&#10;bWxQSwECLQAUAAYACAAAACEAm39zxN4AAAAIAQAADwAAAAAAAAAAAAAAAAALBAAAZHJzL2Rvd25y&#10;ZXYueG1sUEsFBgAAAAAEAAQA8wAAABYFAAAAAA==&#10;" strokecolor="black [3213]" strokeweight=".5pt">
                      <v:stroke joinstyle="miter"/>
                    </v:line>
                  </w:pict>
                </mc:Fallback>
              </mc:AlternateContent>
            </w:r>
            <w:r>
              <w:rPr>
                <w:b/>
                <w:sz w:val="26"/>
              </w:rPr>
              <w:t>TỈNH THANH HÓA</w:t>
            </w:r>
          </w:p>
        </w:tc>
        <w:tc>
          <w:tcPr>
            <w:tcW w:w="5814" w:type="dxa"/>
          </w:tcPr>
          <w:p>
            <w:pPr>
              <w:pStyle w:val="TableParagraph"/>
              <w:spacing w:line="280" w:lineRule="exact"/>
              <w:ind w:right="6"/>
              <w:jc w:val="center"/>
              <w:rPr>
                <w:b/>
                <w:sz w:val="26"/>
              </w:rPr>
            </w:pPr>
            <w:r>
              <w:rPr>
                <w:b/>
                <w:sz w:val="26"/>
              </w:rPr>
              <w:t>CỘNG</w:t>
            </w:r>
            <w:r>
              <w:rPr>
                <w:b/>
                <w:spacing w:val="-4"/>
                <w:sz w:val="26"/>
              </w:rPr>
              <w:t xml:space="preserve"> </w:t>
            </w:r>
            <w:r>
              <w:rPr>
                <w:b/>
                <w:sz w:val="26"/>
              </w:rPr>
              <w:t>HÒA</w:t>
            </w:r>
            <w:r>
              <w:rPr>
                <w:b/>
                <w:spacing w:val="-3"/>
                <w:sz w:val="26"/>
              </w:rPr>
              <w:t xml:space="preserve"> </w:t>
            </w:r>
            <w:r>
              <w:rPr>
                <w:b/>
                <w:sz w:val="26"/>
              </w:rPr>
              <w:t>XÃ HỘI</w:t>
            </w:r>
            <w:r>
              <w:rPr>
                <w:b/>
                <w:spacing w:val="-1"/>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pPr>
              <w:pStyle w:val="TableParagraph"/>
              <w:spacing w:line="322" w:lineRule="exact"/>
              <w:ind w:right="2"/>
              <w:jc w:val="center"/>
              <w:rPr>
                <w:b/>
                <w:sz w:val="28"/>
              </w:rPr>
            </w:pPr>
            <w:r>
              <w:rPr>
                <w:b/>
                <w:noProof/>
                <w:sz w:val="28"/>
                <w:lang w:val="en-US"/>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227661</wp:posOffset>
                      </wp:positionV>
                      <wp:extent cx="215066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D1F41A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pt,17.95pt" to="229.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Ch8nOg3wAAAAkBAAAPAAAAZHJzL2Rvd25yZXYueG1sTI/B&#10;TsMwEETvSPyDtUhcEHXakkJDnApF6oUDEg2qOLrxNo6I11HsNunfs4gDHGd2NPsm30yuE2ccQutJ&#10;wXyWgECqvWmpUfBRbe+fQISoyejOEyq4YIBNcX2V68z4kd7xvIuN4BIKmVZgY+wzKUNt0ekw8z0S&#10;345+cDqyHBppBj1yuevkIklW0umW+IPVPZYW66/dySn4bO6W231F1VjGt+PKTpf9a1oqdXszvTyD&#10;iDjFvzD84DM6FMx08CcyQXSsF3PeEhUs0zUIDjyk60cQh19DFrn8v6D4BgAA//8DAFBLAQItABQA&#10;BgAIAAAAIQC2gziS/gAAAOEBAAATAAAAAAAAAAAAAAAAAAAAAABbQ29udGVudF9UeXBlc10ueG1s&#10;UEsBAi0AFAAGAAgAAAAhADj9If/WAAAAlAEAAAsAAAAAAAAAAAAAAAAALwEAAF9yZWxzLy5yZWxz&#10;UEsBAi0AFAAGAAgAAAAhANoT5RSxAQAA1AMAAA4AAAAAAAAAAAAAAAAALgIAAGRycy9lMm9Eb2Mu&#10;eG1sUEsBAi0AFAAGAAgAAAAhAKHyc6DfAAAACQEAAA8AAAAAAAAAAAAAAAAACwQAAGRycy9kb3du&#10;cmV2LnhtbFBLBQYAAAAABAAEAPMAAAAXBQAAAAA=&#10;" strokecolor="black [3213]" strokeweight=".5pt">
                      <v:stroke joinstyle="miter"/>
                    </v:line>
                  </w:pict>
                </mc:Fallback>
              </mc:AlternateContent>
            </w:r>
            <w:r>
              <w:rPr>
                <w:b/>
                <w:sz w:val="28"/>
              </w:rPr>
              <w:t>Độc</w:t>
            </w:r>
            <w:r>
              <w:rPr>
                <w:b/>
                <w:spacing w:val="-1"/>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z w:val="28"/>
              </w:rPr>
              <w:t>phúc</w:t>
            </w:r>
          </w:p>
        </w:tc>
      </w:tr>
      <w:tr>
        <w:trPr>
          <w:trHeight w:val="431"/>
          <w:jc w:val="center"/>
        </w:trPr>
        <w:tc>
          <w:tcPr>
            <w:tcW w:w="3242" w:type="dxa"/>
          </w:tcPr>
          <w:p>
            <w:pPr>
              <w:pStyle w:val="TableParagraph"/>
              <w:spacing w:before="102" w:line="309" w:lineRule="exact"/>
              <w:jc w:val="center"/>
              <w:rPr>
                <w:sz w:val="28"/>
              </w:rPr>
            </w:pPr>
            <w:r>
              <w:rPr>
                <w:sz w:val="28"/>
              </w:rPr>
              <w:t>Số</w:t>
            </w:r>
            <w:r>
              <w:rPr>
                <w:sz w:val="28"/>
                <w:lang w:val="en-US"/>
              </w:rPr>
              <w:t xml:space="preserve">:      </w:t>
            </w:r>
            <w:r>
              <w:rPr>
                <w:sz w:val="28"/>
                <w:lang w:val="vi-VN"/>
              </w:rPr>
              <w:t xml:space="preserve">   </w:t>
            </w:r>
            <w:r>
              <w:rPr>
                <w:sz w:val="28"/>
              </w:rPr>
              <w:t>/</w:t>
            </w:r>
            <w:r>
              <w:rPr>
                <w:sz w:val="28"/>
                <w:lang w:val="en-US"/>
              </w:rPr>
              <w:t>2025/</w:t>
            </w:r>
            <w:r>
              <w:rPr>
                <w:sz w:val="28"/>
                <w:lang w:val="vi-VN"/>
              </w:rPr>
              <w:t>NQ</w:t>
            </w:r>
            <w:r>
              <w:rPr>
                <w:sz w:val="28"/>
              </w:rPr>
              <w:t>-</w:t>
            </w:r>
            <w:r>
              <w:rPr>
                <w:sz w:val="28"/>
                <w:lang w:val="vi-VN"/>
              </w:rPr>
              <w:t>HĐ</w:t>
            </w:r>
            <w:r>
              <w:rPr>
                <w:sz w:val="28"/>
              </w:rPr>
              <w:t>ND</w:t>
            </w:r>
          </w:p>
        </w:tc>
        <w:tc>
          <w:tcPr>
            <w:tcW w:w="5814" w:type="dxa"/>
          </w:tcPr>
          <w:p>
            <w:pPr>
              <w:pStyle w:val="TableParagraph"/>
              <w:tabs>
                <w:tab w:val="left" w:pos="2124"/>
                <w:tab w:val="left" w:pos="3113"/>
              </w:tabs>
              <w:spacing w:before="102" w:line="309" w:lineRule="exact"/>
              <w:ind w:right="3"/>
              <w:jc w:val="center"/>
              <w:rPr>
                <w:i/>
                <w:sz w:val="28"/>
              </w:rPr>
            </w:pPr>
            <w:r>
              <w:rPr>
                <w:i/>
                <w:sz w:val="28"/>
                <w:lang w:val="en-US"/>
              </w:rPr>
              <w:t>Thanh Hóa</w:t>
            </w:r>
            <w:r>
              <w:rPr>
                <w:i/>
                <w:sz w:val="28"/>
              </w:rPr>
              <w:t>,</w:t>
            </w:r>
            <w:r>
              <w:rPr>
                <w:i/>
                <w:spacing w:val="-5"/>
                <w:sz w:val="28"/>
              </w:rPr>
              <w:t xml:space="preserve"> </w:t>
            </w:r>
            <w:r>
              <w:rPr>
                <w:i/>
                <w:sz w:val="28"/>
              </w:rPr>
              <w:t>ngày</w:t>
            </w:r>
            <w:r>
              <w:rPr>
                <w:i/>
                <w:sz w:val="28"/>
              </w:rPr>
              <w:tab/>
            </w:r>
            <w:r>
              <w:rPr>
                <w:i/>
                <w:sz w:val="28"/>
                <w:lang w:val="vi-VN"/>
              </w:rPr>
              <w:t xml:space="preserve">    </w:t>
            </w:r>
            <w:r>
              <w:rPr>
                <w:i/>
                <w:sz w:val="28"/>
              </w:rPr>
              <w:t>tháng</w:t>
            </w:r>
            <w:r>
              <w:rPr>
                <w:i/>
                <w:sz w:val="28"/>
              </w:rPr>
              <w:tab/>
              <w:t>năm</w:t>
            </w:r>
            <w:r>
              <w:rPr>
                <w:i/>
                <w:spacing w:val="-4"/>
                <w:sz w:val="28"/>
              </w:rPr>
              <w:t xml:space="preserve"> </w:t>
            </w:r>
            <w:r>
              <w:rPr>
                <w:i/>
                <w:sz w:val="28"/>
              </w:rPr>
              <w:t>2025</w:t>
            </w:r>
          </w:p>
        </w:tc>
      </w:tr>
    </w:tbl>
    <w:p>
      <w:pPr>
        <w:pStyle w:val="BodyText"/>
        <w:spacing w:before="6"/>
        <w:ind w:left="0" w:firstLine="0"/>
        <w:jc w:val="left"/>
        <w:rPr>
          <w:i w:val="0"/>
          <w:sz w:val="13"/>
        </w:rPr>
      </w:pPr>
      <w:r>
        <w:rPr>
          <w:i w:val="0"/>
          <w:noProof/>
          <w:sz w:val="13"/>
          <w:lang w:val="en-US"/>
        </w:rPr>
        <mc:AlternateContent>
          <mc:Choice Requires="wps">
            <w:drawing>
              <wp:anchor distT="0" distB="0" distL="114300" distR="114300" simplePos="0" relativeHeight="251668480" behindDoc="0" locked="0" layoutInCell="1" allowOverlap="1">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F9280FE" id="_x0000_t202" coordsize="21600,21600" o:spt="202" path="m,l,21600r21600,l21600,xe">
                <v:stroke joinstyle="miter"/>
                <v:path gradientshapeok="t" o:connecttype="rect"/>
              </v:shapetype>
              <v:shape id="Text Box 5" o:spid="_x0000_s1026" type="#_x0000_t202" style="position:absolute;margin-left:40.05pt;margin-top:3.3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5dFAIAACoEAAAOAAAAZHJzL2Uyb0RvYy54bWysU9tu2zAMfR+wfxD0vtjJkq414hRdugwD&#10;ugvQ7QNkWbaFyaJGKbG7rx8lp2nQbS/D9CBQInV4eEitr8fesINCr8GWfD7LOVNWQq1tW/JvX3ev&#10;LjnzQdhaGLCq5A/K8+vNyxfrwRVqAR2YWiEjEOuLwZW8C8EVWeZlp3rhZ+CUJWcD2ItAR2yzGsVA&#10;6L3JFnl+kQ2AtUOQynu6vZ2cfJPwm0bJ8LlpvArMlJy4hbRj2qu4Z5u1KFoUrtPySEP8A4teaEtJ&#10;T1C3Igi2R/0bVK8lgocmzCT0GTSNlirVQNXM82fV3HfCqVQLiePdSSb//2Dlp8O9+4IsjG9hpAam&#10;Iry7A/ndMwvbTthW3SDC0ClRU+J5lCwbnC+OT6PUvvARpBo+Qk1NFvsACWhssI+qUJ2M0KkBDyfR&#10;1RiYpMur+XKZk0eS6/XF/GqVmpKJ4vGxQx/eK+hZNEqO1NMELg53PkQyongMibk8GF3vtDHpgG21&#10;NcgOgvq/SyvxfxZmLBuIyWqxmur/K0Se1p8geh1okI3uS355ChJFVO2drdOYBaHNZBNlY48yRuUm&#10;DcNYjRQY5aygfiBBEaaBpQ9GRgf4k7OBhrXk/sdeoOLMfLDUlKQhTXc6LFdvFqQnnnuqc4+wkqBK&#10;HjibzG2YfsTeoW47yjSNgYUbamSjk8hPrI68aSCT9sfPEyf+/Jyinr745hcAAAD//wMAUEsDBBQA&#10;BgAIAAAAIQD28Kds3AAAAAcBAAAPAAAAZHJzL2Rvd25yZXYueG1sTI7BTsMwEETvSPyDtUhcEHWa&#10;VkkJcSqEBIJbKVW5uvE2ibDXIXbT8PcsJziOZvTmlevJWTHiEDpPCuazBARS7U1HjYLd+9PtCkSI&#10;moy2nlDBNwZYV5cXpS6MP9MbjtvYCIZQKLSCNsa+kDLULTodZr5H4u7oB6cjx6GRZtBnhjsr0yTJ&#10;pNMd8UOre3xssf7cnpyC1fJl/Aivi82+zo72Lt7k4/PXoNT11fRwDyLiFP/G8KvP6lCx08GfyARh&#10;mZHMeakgy0FwnaZLzgfOixxkVcr//tUPAAAA//8DAFBLAQItABQABgAIAAAAIQC2gziS/gAAAOEB&#10;AAATAAAAAAAAAAAAAAAAAAAAAABbQ29udGVudF9UeXBlc10ueG1sUEsBAi0AFAAGAAgAAAAhADj9&#10;If/WAAAAlAEAAAsAAAAAAAAAAAAAAAAALwEAAF9yZWxzLy5yZWxzUEsBAi0AFAAGAAgAAAAhAKw8&#10;Hl0UAgAAKgQAAA4AAAAAAAAAAAAAAAAALgIAAGRycy9lMm9Eb2MueG1sUEsBAi0AFAAGAAgAAAAh&#10;APbwp2zcAAAABwEAAA8AAAAAAAAAAAAAAAAAbgQAAGRycy9kb3ducmV2LnhtbFBLBQYAAAAABAAE&#10;APMAAAB3BQAAAAA=&#10;">
                <v:textbox>
                  <w:txbxContent>
                    <w:p w14:paraId="15F23E16" w14:textId="77777777" w:rsidR="00F153E1" w:rsidRDefault="00000000">
                      <w:pPr>
                        <w:jc w:val="center"/>
                        <w:rPr>
                          <w:b/>
                        </w:rPr>
                      </w:pPr>
                      <w:r>
                        <w:rPr>
                          <w:b/>
                        </w:rPr>
                        <w:t>DỰ THẢO</w:t>
                      </w:r>
                    </w:p>
                  </w:txbxContent>
                </v:textbox>
              </v:shape>
            </w:pict>
          </mc:Fallback>
        </mc:AlternateContent>
      </w:r>
    </w:p>
    <w:p>
      <w:pPr>
        <w:pStyle w:val="Heading1"/>
        <w:spacing w:before="89" w:line="322" w:lineRule="exact"/>
        <w:ind w:left="0" w:right="1731"/>
        <w:jc w:val="left"/>
      </w:pPr>
    </w:p>
    <w:p>
      <w:pPr>
        <w:pStyle w:val="Heading1"/>
        <w:ind w:left="0" w:right="0"/>
      </w:pPr>
      <w:r>
        <w:rPr>
          <w:lang w:val="vi-VN"/>
        </w:rPr>
        <w:t>NGHỊ</w:t>
      </w:r>
      <w:r>
        <w:t xml:space="preserve"> QUYẾT</w:t>
      </w:r>
    </w:p>
    <w:p>
      <w:pPr>
        <w:jc w:val="center"/>
        <w:rPr>
          <w:b/>
          <w:sz w:val="28"/>
          <w:lang w:val="vi-VN"/>
        </w:rPr>
      </w:pPr>
      <w:r>
        <w:rPr>
          <w:b/>
          <w:sz w:val="28"/>
          <w:lang w:val="en-US"/>
        </w:rPr>
        <w:t>Quyết định</w:t>
      </w:r>
      <w:r>
        <w:rPr>
          <w:b/>
          <w:sz w:val="28"/>
          <w:lang w:val="vi-VN"/>
        </w:rPr>
        <w:t xml:space="preserve"> </w:t>
      </w:r>
      <w:r>
        <w:rPr>
          <w:b/>
          <w:sz w:val="28"/>
          <w:lang w:val="en-US"/>
        </w:rPr>
        <w:t>Bảng giá đất</w:t>
      </w:r>
      <w:r>
        <w:rPr>
          <w:b/>
          <w:sz w:val="28"/>
          <w:lang w:val="vi-VN"/>
        </w:rPr>
        <w:t xml:space="preserve"> </w:t>
      </w:r>
      <w:r>
        <w:rPr>
          <w:b/>
          <w:sz w:val="28"/>
          <w:lang w:val="en-US"/>
        </w:rPr>
        <w:t>lần đầu để công bố và áp dụng</w:t>
      </w:r>
    </w:p>
    <w:p>
      <w:pPr>
        <w:jc w:val="center"/>
        <w:rPr>
          <w:b/>
          <w:sz w:val="28"/>
          <w:lang w:val="en-US"/>
        </w:rPr>
      </w:pPr>
      <w:r>
        <w:rPr>
          <w:b/>
          <w:sz w:val="28"/>
          <w:lang w:val="en-US"/>
        </w:rPr>
        <w:t xml:space="preserve">từ ngày 01 tháng 01 năm 2026 </w:t>
      </w:r>
      <w:r>
        <w:rPr>
          <w:b/>
          <w:sz w:val="28"/>
        </w:rPr>
        <w:t>trên địa bàn tỉnh Thanh Hóa</w:t>
      </w:r>
      <w:r>
        <w:rPr>
          <w:b/>
          <w:sz w:val="28"/>
          <w:lang w:val="vi-VN"/>
        </w:rPr>
        <w:t xml:space="preserve"> </w:t>
      </w:r>
    </w:p>
    <w:p>
      <w:pPr>
        <w:spacing w:before="217"/>
        <w:ind w:right="3"/>
        <w:jc w:val="center"/>
        <w:rPr>
          <w:b/>
          <w:sz w:val="6"/>
          <w:szCs w:val="2"/>
        </w:rPr>
      </w:pPr>
    </w:p>
    <w:p>
      <w:pPr>
        <w:spacing w:before="120"/>
        <w:ind w:firstLine="709"/>
        <w:jc w:val="both"/>
        <w:rPr>
          <w:i/>
          <w:sz w:val="28"/>
          <w:szCs w:val="28"/>
        </w:rPr>
      </w:pPr>
      <w:bookmarkStart w:id="0" w:name="dieu_1"/>
      <w:r>
        <w:rPr>
          <w:i/>
          <w:sz w:val="28"/>
          <w:szCs w:val="28"/>
        </w:rPr>
        <w:t>Căn cứ Luật Tổ chức chính quyền địa phương số 72/2025/QH15;</w:t>
      </w:r>
    </w:p>
    <w:p>
      <w:pPr>
        <w:spacing w:before="120"/>
        <w:ind w:firstLine="709"/>
        <w:jc w:val="both"/>
        <w:rPr>
          <w:i/>
          <w:sz w:val="28"/>
          <w:szCs w:val="28"/>
          <w:lang w:val="vi-VN"/>
        </w:rPr>
      </w:pPr>
      <w:r>
        <w:rPr>
          <w:i/>
          <w:sz w:val="28"/>
          <w:szCs w:val="28"/>
        </w:rPr>
        <w:t>Căn cứ Luật Ban hành văn bản quy phạm pháp luật số 64/2025/QH15;</w:t>
      </w:r>
    </w:p>
    <w:p>
      <w:pPr>
        <w:spacing w:before="120"/>
        <w:ind w:firstLine="709"/>
        <w:jc w:val="both"/>
        <w:rPr>
          <w:i/>
          <w:sz w:val="28"/>
          <w:szCs w:val="28"/>
          <w:lang w:val="vi-VN"/>
        </w:rPr>
      </w:pPr>
      <w:r>
        <w:rPr>
          <w:i/>
          <w:sz w:val="28"/>
          <w:szCs w:val="28"/>
          <w:lang w:val="vi-VN"/>
        </w:rPr>
        <w:t xml:space="preserve">Căn cứ </w:t>
      </w:r>
      <w:r>
        <w:rPr>
          <w:i/>
          <w:sz w:val="28"/>
          <w:szCs w:val="28"/>
        </w:rPr>
        <w:t>Luật sửa đổi, bổ sung một số điều của </w:t>
      </w:r>
      <w:bookmarkStart w:id="1" w:name="tvpllink_wmctndtokn"/>
      <w:r>
        <w:rPr>
          <w:i/>
          <w:sz w:val="28"/>
          <w:szCs w:val="28"/>
        </w:rPr>
        <w:fldChar w:fldCharType="begin"/>
      </w:r>
      <w:r>
        <w:rPr>
          <w:i/>
          <w:sz w:val="28"/>
          <w:szCs w:val="28"/>
        </w:rPr>
        <w:instrText>HYPERLINK "https://thuvienphapluat.vn/van-ban/Bo-may-hanh-chinh/Luat-ban-hanh-van-ban-quy-pham-phap-luat-2025-so-64-2025-QH15-639239.aspx" \t "_blank"</w:instrText>
      </w:r>
      <w:r>
        <w:rPr>
          <w:i/>
          <w:sz w:val="28"/>
          <w:szCs w:val="28"/>
        </w:rPr>
        <w:fldChar w:fldCharType="separate"/>
      </w:r>
      <w:r>
        <w:rPr>
          <w:rStyle w:val="Hyperlink"/>
          <w:i/>
          <w:color w:val="auto"/>
          <w:sz w:val="28"/>
          <w:szCs w:val="28"/>
          <w:u w:val="none"/>
        </w:rPr>
        <w:t>Luật Ban hành văn bản quy phạm pháp luật</w:t>
      </w:r>
      <w:r>
        <w:rPr>
          <w:i/>
          <w:sz w:val="28"/>
          <w:szCs w:val="28"/>
          <w:lang w:val="vi-VN"/>
        </w:rPr>
        <w:fldChar w:fldCharType="end"/>
      </w:r>
      <w:bookmarkEnd w:id="1"/>
      <w:r>
        <w:rPr>
          <w:i/>
          <w:sz w:val="28"/>
          <w:szCs w:val="28"/>
          <w:lang w:val="vi-VN"/>
        </w:rPr>
        <w:t xml:space="preserve"> số 87/2025/QH15;</w:t>
      </w:r>
    </w:p>
    <w:p>
      <w:pPr>
        <w:spacing w:before="120"/>
        <w:ind w:firstLine="720"/>
        <w:jc w:val="both"/>
        <w:rPr>
          <w:i/>
          <w:sz w:val="28"/>
          <w:szCs w:val="28"/>
        </w:rPr>
      </w:pPr>
      <w:r>
        <w:rPr>
          <w:i/>
          <w:sz w:val="28"/>
          <w:szCs w:val="28"/>
        </w:rPr>
        <w:t xml:space="preserve">Căn cứ Luật Đất đai </w:t>
      </w:r>
      <w:r>
        <w:rPr>
          <w:i/>
          <w:sz w:val="28"/>
          <w:szCs w:val="28"/>
          <w:lang w:val="en-US"/>
        </w:rPr>
        <w:t>số 31/2024/QH15</w:t>
      </w:r>
      <w:r>
        <w:rPr>
          <w:i/>
          <w:sz w:val="28"/>
          <w:szCs w:val="28"/>
        </w:rPr>
        <w:t xml:space="preserve">; </w:t>
      </w:r>
    </w:p>
    <w:p>
      <w:pPr>
        <w:spacing w:before="120"/>
        <w:ind w:firstLine="720"/>
        <w:jc w:val="both"/>
        <w:rPr>
          <w:i/>
          <w:sz w:val="28"/>
          <w:szCs w:val="28"/>
        </w:rPr>
      </w:pPr>
      <w:r>
        <w:rPr>
          <w:i/>
          <w:sz w:val="28"/>
          <w:szCs w:val="28"/>
          <w:lang w:val="vi-VN"/>
        </w:rPr>
        <w:t xml:space="preserve">Căn cứ </w:t>
      </w:r>
      <w:r>
        <w:rPr>
          <w:i/>
          <w:sz w:val="28"/>
          <w:szCs w:val="28"/>
        </w:rPr>
        <w:t>Luật sửa đổi, bổ sung một số điều của Luật Đất đai số 31/2024/QH15, Luật Nhà ở số 27/2023/QH15, Luật Kinh doanh bất động sản số 29/2023/QH15 và Luật Các tổ chức tín dụng số 32/2024/QH15 ngày 29/6/2024;</w:t>
      </w:r>
    </w:p>
    <w:p>
      <w:pPr>
        <w:spacing w:before="120"/>
        <w:ind w:firstLine="720"/>
        <w:jc w:val="both"/>
        <w:rPr>
          <w:i/>
          <w:sz w:val="28"/>
          <w:szCs w:val="28"/>
          <w:lang w:val="en-US"/>
        </w:rPr>
      </w:pPr>
      <w:r>
        <w:rPr>
          <w:i/>
          <w:sz w:val="28"/>
          <w:szCs w:val="28"/>
        </w:rPr>
        <w:t>Căn cứ Nghị định số 71/2024/NĐ-CP ngày 27</w:t>
      </w:r>
      <w:r>
        <w:rPr>
          <w:i/>
          <w:sz w:val="28"/>
          <w:szCs w:val="28"/>
          <w:lang w:val="vi-VN"/>
        </w:rPr>
        <w:t xml:space="preserve"> tháng </w:t>
      </w:r>
      <w:r>
        <w:rPr>
          <w:i/>
          <w:sz w:val="28"/>
          <w:szCs w:val="28"/>
        </w:rPr>
        <w:t>6</w:t>
      </w:r>
      <w:r>
        <w:rPr>
          <w:i/>
          <w:sz w:val="28"/>
          <w:szCs w:val="28"/>
          <w:lang w:val="vi-VN"/>
        </w:rPr>
        <w:t xml:space="preserve"> năm </w:t>
      </w:r>
      <w:r>
        <w:rPr>
          <w:i/>
          <w:sz w:val="28"/>
          <w:szCs w:val="28"/>
        </w:rPr>
        <w:t xml:space="preserve">2024 của Chính phủ quy định về giá đất; </w:t>
      </w:r>
    </w:p>
    <w:p>
      <w:pPr>
        <w:spacing w:before="120"/>
        <w:ind w:firstLine="720"/>
        <w:jc w:val="both"/>
        <w:rPr>
          <w:i/>
          <w:sz w:val="28"/>
          <w:szCs w:val="28"/>
        </w:rPr>
      </w:pPr>
      <w:r>
        <w:rPr>
          <w:i/>
          <w:sz w:val="28"/>
          <w:szCs w:val="28"/>
          <w:lang w:val="vi-VN"/>
        </w:rPr>
        <w:t xml:space="preserve">Căn cứ </w:t>
      </w:r>
      <w:r>
        <w:rPr>
          <w:i/>
          <w:sz w:val="28"/>
          <w:szCs w:val="28"/>
          <w:lang w:val="en-US"/>
        </w:rPr>
        <w:t xml:space="preserve">Nghị định </w:t>
      </w:r>
      <w:r>
        <w:rPr>
          <w:i/>
          <w:sz w:val="28"/>
          <w:szCs w:val="28"/>
        </w:rPr>
        <w:t>số 103/2024/NĐ-CP ngày 30</w:t>
      </w:r>
      <w:r>
        <w:rPr>
          <w:i/>
          <w:sz w:val="28"/>
          <w:szCs w:val="28"/>
          <w:lang w:val="vi-VN"/>
        </w:rPr>
        <w:t xml:space="preserve"> tháng </w:t>
      </w:r>
      <w:r>
        <w:rPr>
          <w:i/>
          <w:sz w:val="28"/>
          <w:szCs w:val="28"/>
        </w:rPr>
        <w:t>7</w:t>
      </w:r>
      <w:r>
        <w:rPr>
          <w:i/>
          <w:sz w:val="28"/>
          <w:szCs w:val="28"/>
          <w:lang w:val="vi-VN"/>
        </w:rPr>
        <w:t xml:space="preserve"> năm </w:t>
      </w:r>
      <w:r>
        <w:rPr>
          <w:i/>
          <w:sz w:val="28"/>
          <w:szCs w:val="28"/>
        </w:rPr>
        <w:t xml:space="preserve">2024 </w:t>
      </w:r>
      <w:r>
        <w:rPr>
          <w:i/>
          <w:sz w:val="28"/>
          <w:szCs w:val="28"/>
          <w:lang w:val="en-US"/>
        </w:rPr>
        <w:t xml:space="preserve">của Chính phủ </w:t>
      </w:r>
      <w:r>
        <w:rPr>
          <w:i/>
          <w:sz w:val="28"/>
          <w:szCs w:val="28"/>
        </w:rPr>
        <w:t xml:space="preserve">quy định về tiền sử dụng đất, tiền thuê đất; </w:t>
      </w:r>
    </w:p>
    <w:p>
      <w:pPr>
        <w:spacing w:before="120"/>
        <w:ind w:firstLine="720"/>
        <w:jc w:val="both"/>
        <w:rPr>
          <w:i/>
          <w:sz w:val="28"/>
          <w:szCs w:val="28"/>
        </w:rPr>
      </w:pPr>
      <w:r>
        <w:rPr>
          <w:i/>
          <w:sz w:val="28"/>
          <w:szCs w:val="28"/>
        </w:rPr>
        <w:t>Căn cứ Nghị định số 125/2025/NĐ-CP ngày 11</w:t>
      </w:r>
      <w:r>
        <w:rPr>
          <w:i/>
          <w:sz w:val="28"/>
          <w:szCs w:val="28"/>
          <w:lang w:val="vi-VN"/>
        </w:rPr>
        <w:t xml:space="preserve"> tháng </w:t>
      </w:r>
      <w:r>
        <w:rPr>
          <w:i/>
          <w:sz w:val="28"/>
          <w:szCs w:val="28"/>
        </w:rPr>
        <w:t>6</w:t>
      </w:r>
      <w:r>
        <w:rPr>
          <w:i/>
          <w:sz w:val="28"/>
          <w:szCs w:val="28"/>
          <w:lang w:val="vi-VN"/>
        </w:rPr>
        <w:t xml:space="preserve"> năm </w:t>
      </w:r>
      <w:r>
        <w:rPr>
          <w:i/>
          <w:sz w:val="28"/>
          <w:szCs w:val="28"/>
        </w:rPr>
        <w:t>2025 của Chính phủ quy định về phân định thẩm quyền của chính quyền địa phương 02 cấp trong lĩnh vực quản lý nhà nước của Bộ Tài chính;</w:t>
      </w:r>
    </w:p>
    <w:p>
      <w:pPr>
        <w:spacing w:before="120"/>
        <w:ind w:firstLine="720"/>
        <w:jc w:val="both"/>
        <w:rPr>
          <w:i/>
          <w:sz w:val="28"/>
          <w:szCs w:val="28"/>
          <w:lang w:val="vi-VN"/>
        </w:rPr>
      </w:pPr>
      <w:r>
        <w:rPr>
          <w:i/>
          <w:sz w:val="28"/>
          <w:szCs w:val="28"/>
        </w:rPr>
        <w:t>Căn cứ Nghị định số 151/2025/NĐ-CP ngày 12</w:t>
      </w:r>
      <w:r>
        <w:rPr>
          <w:i/>
          <w:sz w:val="28"/>
          <w:szCs w:val="28"/>
          <w:lang w:val="vi-VN"/>
        </w:rPr>
        <w:t xml:space="preserve"> tháng </w:t>
      </w:r>
      <w:r>
        <w:rPr>
          <w:i/>
          <w:sz w:val="28"/>
          <w:szCs w:val="28"/>
        </w:rPr>
        <w:t>6</w:t>
      </w:r>
      <w:r>
        <w:rPr>
          <w:i/>
          <w:sz w:val="28"/>
          <w:szCs w:val="28"/>
          <w:lang w:val="vi-VN"/>
        </w:rPr>
        <w:t xml:space="preserve"> năm </w:t>
      </w:r>
      <w:r>
        <w:rPr>
          <w:i/>
          <w:sz w:val="28"/>
          <w:szCs w:val="28"/>
        </w:rPr>
        <w:t xml:space="preserve">2025 của Chính phủ quy định về phân định thẩm quyền của chính quyền địa phương 02 cấp, phân quyền, phân cấp trong lĩnh vực đất đai; </w:t>
      </w:r>
    </w:p>
    <w:p>
      <w:pPr>
        <w:spacing w:before="120"/>
        <w:ind w:firstLine="720"/>
        <w:jc w:val="both"/>
        <w:rPr>
          <w:i/>
          <w:spacing w:val="-2"/>
          <w:sz w:val="28"/>
          <w:szCs w:val="28"/>
          <w:lang w:val="vi-VN"/>
        </w:rPr>
      </w:pPr>
      <w:r>
        <w:rPr>
          <w:i/>
          <w:spacing w:val="-2"/>
          <w:sz w:val="28"/>
          <w:szCs w:val="28"/>
        </w:rPr>
        <w:t>Căn cứ Nghị định số 226/2025/NĐ-CP ngày 15</w:t>
      </w:r>
      <w:r>
        <w:rPr>
          <w:i/>
          <w:spacing w:val="-2"/>
          <w:sz w:val="28"/>
          <w:szCs w:val="28"/>
          <w:lang w:val="vi-VN"/>
        </w:rPr>
        <w:t xml:space="preserve"> tháng </w:t>
      </w:r>
      <w:r>
        <w:rPr>
          <w:i/>
          <w:spacing w:val="-2"/>
          <w:sz w:val="28"/>
          <w:szCs w:val="28"/>
        </w:rPr>
        <w:t>8</w:t>
      </w:r>
      <w:r>
        <w:rPr>
          <w:i/>
          <w:spacing w:val="-2"/>
          <w:sz w:val="28"/>
          <w:szCs w:val="28"/>
          <w:lang w:val="vi-VN"/>
        </w:rPr>
        <w:t xml:space="preserve"> năm </w:t>
      </w:r>
      <w:r>
        <w:rPr>
          <w:i/>
          <w:spacing w:val="-2"/>
          <w:sz w:val="28"/>
          <w:szCs w:val="28"/>
        </w:rPr>
        <w:t xml:space="preserve">2025 của Chính phủ sửa đổi, bổ sung một số điều của các nghị định quy định chi tiết thi hành Luật Đất đai; </w:t>
      </w:r>
    </w:p>
    <w:p>
      <w:pPr>
        <w:spacing w:before="120"/>
        <w:ind w:firstLine="720"/>
        <w:jc w:val="both"/>
        <w:rPr>
          <w:i/>
          <w:spacing w:val="-2"/>
          <w:sz w:val="28"/>
          <w:szCs w:val="28"/>
          <w:lang w:val="en-US"/>
        </w:rPr>
      </w:pPr>
      <w:r>
        <w:rPr>
          <w:i/>
          <w:spacing w:val="-2"/>
          <w:sz w:val="28"/>
          <w:szCs w:val="28"/>
          <w:lang w:val="vi-VN"/>
        </w:rPr>
        <w:t>Căn cứ Nghị định số 291/2025/NĐ-CP ngày 06 tháng 11 năm 2025 của Chính phủ s</w:t>
      </w:r>
      <w:r>
        <w:rPr>
          <w:i/>
          <w:spacing w:val="-2"/>
          <w:sz w:val="28"/>
          <w:szCs w:val="28"/>
        </w:rPr>
        <w:t>ửa đổi, bổ sung một số điều của Nghị định số 103/2024/NĐ-CP ngày 30</w:t>
      </w:r>
      <w:r>
        <w:rPr>
          <w:i/>
          <w:spacing w:val="-2"/>
          <w:sz w:val="28"/>
          <w:szCs w:val="28"/>
          <w:lang w:val="vi-VN"/>
        </w:rPr>
        <w:t xml:space="preserve"> tháng </w:t>
      </w:r>
      <w:r>
        <w:rPr>
          <w:i/>
          <w:spacing w:val="-2"/>
          <w:sz w:val="28"/>
          <w:szCs w:val="28"/>
        </w:rPr>
        <w:t>7</w:t>
      </w:r>
      <w:r>
        <w:rPr>
          <w:i/>
          <w:spacing w:val="-2"/>
          <w:sz w:val="28"/>
          <w:szCs w:val="28"/>
          <w:lang w:val="vi-VN"/>
        </w:rPr>
        <w:t xml:space="preserve"> năm </w:t>
      </w:r>
      <w:r>
        <w:rPr>
          <w:i/>
          <w:spacing w:val="-2"/>
          <w:sz w:val="28"/>
          <w:szCs w:val="28"/>
        </w:rPr>
        <w:t>2024 của Chính phủ quy định về tiền sử dụng đất, tiền thuê đất và Nghị định số 104/2024/NĐ-CP ngày 31</w:t>
      </w:r>
      <w:r>
        <w:rPr>
          <w:i/>
          <w:spacing w:val="-2"/>
          <w:sz w:val="28"/>
          <w:szCs w:val="28"/>
          <w:lang w:val="vi-VN"/>
        </w:rPr>
        <w:t xml:space="preserve"> tháng </w:t>
      </w:r>
      <w:r>
        <w:rPr>
          <w:i/>
          <w:spacing w:val="-2"/>
          <w:sz w:val="28"/>
          <w:szCs w:val="28"/>
        </w:rPr>
        <w:t>7</w:t>
      </w:r>
      <w:r>
        <w:rPr>
          <w:i/>
          <w:spacing w:val="-2"/>
          <w:sz w:val="28"/>
          <w:szCs w:val="28"/>
          <w:lang w:val="vi-VN"/>
        </w:rPr>
        <w:t xml:space="preserve"> năm </w:t>
      </w:r>
      <w:r>
        <w:rPr>
          <w:i/>
          <w:spacing w:val="-2"/>
          <w:sz w:val="28"/>
          <w:szCs w:val="28"/>
        </w:rPr>
        <w:t>2024 của Chính phủ quy định về Quỹ phát triển đất</w:t>
      </w:r>
      <w:r>
        <w:rPr>
          <w:i/>
          <w:spacing w:val="-2"/>
          <w:sz w:val="28"/>
          <w:szCs w:val="28"/>
          <w:lang w:val="en-US"/>
        </w:rPr>
        <w:t>;</w:t>
      </w:r>
    </w:p>
    <w:p>
      <w:pPr>
        <w:spacing w:before="120"/>
        <w:ind w:firstLine="720"/>
        <w:jc w:val="both"/>
        <w:rPr>
          <w:i/>
          <w:sz w:val="28"/>
          <w:szCs w:val="28"/>
          <w:lang w:val="en-US"/>
        </w:rPr>
      </w:pPr>
      <w:r>
        <w:rPr>
          <w:i/>
          <w:sz w:val="28"/>
          <w:szCs w:val="28"/>
        </w:rPr>
        <w:t xml:space="preserve">Xét Tờ trình số      /TTr-UBND ngày     /12/2025 của </w:t>
      </w:r>
      <w:r>
        <w:rPr>
          <w:i/>
          <w:sz w:val="28"/>
          <w:szCs w:val="28"/>
          <w:lang w:val="vi-VN"/>
        </w:rPr>
        <w:t xml:space="preserve">Ủy </w:t>
      </w:r>
      <w:r>
        <w:rPr>
          <w:i/>
          <w:sz w:val="28"/>
          <w:szCs w:val="28"/>
        </w:rPr>
        <w:t>ban nhân dân tỉnh về việc đề nghị ban hành Nghị quyết quy</w:t>
      </w:r>
      <w:r>
        <w:rPr>
          <w:i/>
          <w:sz w:val="28"/>
          <w:szCs w:val="28"/>
          <w:lang w:val="en-US"/>
        </w:rPr>
        <w:t>ết</w:t>
      </w:r>
      <w:r>
        <w:rPr>
          <w:i/>
          <w:sz w:val="28"/>
          <w:szCs w:val="28"/>
        </w:rPr>
        <w:t xml:space="preserve"> định </w:t>
      </w:r>
      <w:r>
        <w:rPr>
          <w:i/>
          <w:sz w:val="28"/>
          <w:szCs w:val="28"/>
          <w:lang w:val="en-US"/>
        </w:rPr>
        <w:t xml:space="preserve">Bảng </w:t>
      </w:r>
      <w:r>
        <w:rPr>
          <w:i/>
          <w:sz w:val="28"/>
          <w:szCs w:val="28"/>
        </w:rPr>
        <w:t xml:space="preserve">giá đất </w:t>
      </w:r>
      <w:r>
        <w:rPr>
          <w:i/>
          <w:sz w:val="28"/>
          <w:szCs w:val="28"/>
          <w:lang w:val="en-US"/>
        </w:rPr>
        <w:t xml:space="preserve">lần đầu </w:t>
      </w:r>
      <w:r>
        <w:rPr>
          <w:i/>
          <w:sz w:val="28"/>
          <w:szCs w:val="28"/>
          <w:lang w:val="vi-VN"/>
        </w:rPr>
        <w:t xml:space="preserve">để công bố và </w:t>
      </w:r>
      <w:r>
        <w:rPr>
          <w:i/>
          <w:sz w:val="28"/>
          <w:szCs w:val="28"/>
          <w:lang w:val="en-US"/>
        </w:rPr>
        <w:t>áp dụng từ ngày 01 tháng 01 năm 2026</w:t>
      </w:r>
      <w:r>
        <w:rPr>
          <w:i/>
          <w:sz w:val="28"/>
          <w:szCs w:val="28"/>
        </w:rPr>
        <w:t xml:space="preserve"> trên địa bàn tỉnh </w:t>
      </w:r>
      <w:r>
        <w:rPr>
          <w:i/>
          <w:sz w:val="28"/>
          <w:szCs w:val="28"/>
          <w:lang w:val="en-US"/>
        </w:rPr>
        <w:t>Thanh Hóa</w:t>
      </w:r>
      <w:r>
        <w:rPr>
          <w:i/>
          <w:sz w:val="28"/>
          <w:szCs w:val="28"/>
        </w:rPr>
        <w:t>; Báo cáo thẩm tra số……./BC-HĐND ngày …../</w:t>
      </w:r>
      <w:r>
        <w:rPr>
          <w:i/>
          <w:sz w:val="28"/>
          <w:szCs w:val="28"/>
          <w:lang w:val="en-US"/>
        </w:rPr>
        <w:t>12</w:t>
      </w:r>
      <w:r>
        <w:rPr>
          <w:i/>
          <w:sz w:val="28"/>
          <w:szCs w:val="28"/>
        </w:rPr>
        <w:t xml:space="preserve">/2025 của Ban Kinh tế - Ngân sách Hội đồng nhân dân tỉnh và ý kiến thảo luận của các đại biểu Hội đồng nhân dân tại </w:t>
      </w:r>
      <w:r>
        <w:rPr>
          <w:i/>
          <w:sz w:val="28"/>
          <w:szCs w:val="28"/>
        </w:rPr>
        <w:lastRenderedPageBreak/>
        <w:t>kỳ họp</w:t>
      </w:r>
      <w:r>
        <w:rPr>
          <w:i/>
          <w:sz w:val="28"/>
          <w:szCs w:val="28"/>
          <w:lang w:val="en-US"/>
        </w:rPr>
        <w:t xml:space="preserve"> …</w:t>
      </w:r>
      <w:r>
        <w:rPr>
          <w:i/>
          <w:sz w:val="28"/>
          <w:szCs w:val="28"/>
        </w:rPr>
        <w:t>.</w:t>
      </w:r>
      <w:r>
        <w:rPr>
          <w:i/>
          <w:sz w:val="28"/>
          <w:szCs w:val="28"/>
          <w:lang w:val="en-US"/>
        </w:rPr>
        <w:t>;</w:t>
      </w:r>
    </w:p>
    <w:p>
      <w:pPr>
        <w:spacing w:before="120"/>
        <w:ind w:firstLine="720"/>
        <w:jc w:val="both"/>
        <w:rPr>
          <w:i/>
          <w:spacing w:val="-2"/>
          <w:sz w:val="28"/>
          <w:szCs w:val="28"/>
          <w:lang w:val="en-US"/>
        </w:rPr>
      </w:pPr>
      <w:r>
        <w:rPr>
          <w:i/>
          <w:spacing w:val="-2"/>
          <w:sz w:val="28"/>
          <w:szCs w:val="28"/>
        </w:rPr>
        <w:t xml:space="preserve">Hội đồng nhân dân ban hành Nghị quyết </w:t>
      </w:r>
      <w:r>
        <w:rPr>
          <w:i/>
          <w:spacing w:val="-2"/>
          <w:sz w:val="28"/>
          <w:szCs w:val="28"/>
          <w:lang w:val="vi-VN"/>
        </w:rPr>
        <w:t>q</w:t>
      </w:r>
      <w:r>
        <w:rPr>
          <w:i/>
          <w:spacing w:val="-2"/>
          <w:sz w:val="28"/>
          <w:szCs w:val="28"/>
          <w:lang w:val="en-US"/>
        </w:rPr>
        <w:t>uyết định</w:t>
      </w:r>
      <w:r>
        <w:rPr>
          <w:i/>
          <w:spacing w:val="-2"/>
          <w:sz w:val="28"/>
          <w:szCs w:val="28"/>
        </w:rPr>
        <w:t xml:space="preserve"> </w:t>
      </w:r>
      <w:r>
        <w:rPr>
          <w:i/>
          <w:spacing w:val="-2"/>
          <w:sz w:val="28"/>
          <w:szCs w:val="28"/>
          <w:lang w:val="en-US"/>
        </w:rPr>
        <w:t xml:space="preserve">Bảng </w:t>
      </w:r>
      <w:r>
        <w:rPr>
          <w:i/>
          <w:spacing w:val="-2"/>
          <w:sz w:val="28"/>
          <w:szCs w:val="28"/>
        </w:rPr>
        <w:t xml:space="preserve">giá đất </w:t>
      </w:r>
      <w:r>
        <w:rPr>
          <w:i/>
          <w:spacing w:val="-2"/>
          <w:sz w:val="28"/>
          <w:szCs w:val="28"/>
          <w:lang w:val="en-US"/>
        </w:rPr>
        <w:t xml:space="preserve">lần đầu </w:t>
      </w:r>
      <w:r>
        <w:rPr>
          <w:i/>
          <w:spacing w:val="-2"/>
          <w:sz w:val="28"/>
          <w:szCs w:val="28"/>
          <w:lang w:val="vi-VN"/>
        </w:rPr>
        <w:t xml:space="preserve">để công bố và </w:t>
      </w:r>
      <w:r>
        <w:rPr>
          <w:i/>
          <w:spacing w:val="-2"/>
          <w:sz w:val="28"/>
          <w:szCs w:val="28"/>
          <w:lang w:val="en-US"/>
        </w:rPr>
        <w:t>áp dụng từ ngày 01 tháng 01 năm 2026</w:t>
      </w:r>
      <w:r>
        <w:rPr>
          <w:i/>
          <w:spacing w:val="-2"/>
          <w:sz w:val="28"/>
          <w:szCs w:val="28"/>
        </w:rPr>
        <w:t xml:space="preserve"> trên địa bàn tỉnh </w:t>
      </w:r>
      <w:r>
        <w:rPr>
          <w:i/>
          <w:spacing w:val="-2"/>
          <w:sz w:val="28"/>
          <w:szCs w:val="28"/>
          <w:lang w:val="en-US"/>
        </w:rPr>
        <w:t>Thanh Hóa.</w:t>
      </w:r>
    </w:p>
    <w:p>
      <w:pPr>
        <w:spacing w:before="120"/>
        <w:jc w:val="both"/>
        <w:rPr>
          <w:sz w:val="28"/>
          <w:szCs w:val="28"/>
          <w:lang w:val="vi-VN"/>
        </w:rPr>
      </w:pPr>
      <w:r>
        <w:rPr>
          <w:b/>
          <w:iCs/>
          <w:sz w:val="28"/>
          <w:szCs w:val="28"/>
        </w:rPr>
        <w:t xml:space="preserve">          Điều 1. </w:t>
      </w:r>
      <w:bookmarkStart w:id="2" w:name="dieu_1_name"/>
      <w:bookmarkStart w:id="3" w:name="dieu_3"/>
      <w:bookmarkEnd w:id="0"/>
      <w:r>
        <w:rPr>
          <w:sz w:val="28"/>
          <w:szCs w:val="28"/>
          <w:lang w:val="en-US"/>
        </w:rPr>
        <w:t>Quyết định</w:t>
      </w:r>
      <w:r>
        <w:rPr>
          <w:sz w:val="28"/>
          <w:szCs w:val="28"/>
        </w:rPr>
        <w:t xml:space="preserve"> </w:t>
      </w:r>
      <w:r>
        <w:rPr>
          <w:sz w:val="28"/>
          <w:szCs w:val="28"/>
          <w:lang w:val="en-US"/>
        </w:rPr>
        <w:t xml:space="preserve">Bảng </w:t>
      </w:r>
      <w:r>
        <w:rPr>
          <w:sz w:val="28"/>
          <w:szCs w:val="28"/>
        </w:rPr>
        <w:t xml:space="preserve">giá đất </w:t>
      </w:r>
      <w:r>
        <w:rPr>
          <w:sz w:val="28"/>
          <w:szCs w:val="28"/>
          <w:lang w:val="en-US"/>
        </w:rPr>
        <w:t>lần đầu để công bố và áp dụng từ ngày 01 tháng 01 năm 2026</w:t>
      </w:r>
      <w:r>
        <w:rPr>
          <w:sz w:val="28"/>
          <w:szCs w:val="28"/>
        </w:rPr>
        <w:t xml:space="preserve"> trên địa bàn tỉnh Thanh Hóa</w:t>
      </w:r>
      <w:bookmarkEnd w:id="2"/>
      <w:r>
        <w:rPr>
          <w:sz w:val="28"/>
          <w:szCs w:val="28"/>
          <w:lang w:val="en-US"/>
        </w:rPr>
        <w:t xml:space="preserve"> với các nội dung chính sau đây:</w:t>
      </w:r>
    </w:p>
    <w:p>
      <w:pPr>
        <w:spacing w:before="120"/>
        <w:jc w:val="both"/>
        <w:rPr>
          <w:b/>
          <w:spacing w:val="-2"/>
          <w:sz w:val="28"/>
          <w:szCs w:val="28"/>
        </w:rPr>
      </w:pPr>
      <w:r>
        <w:rPr>
          <w:b/>
          <w:bCs/>
          <w:sz w:val="28"/>
          <w:szCs w:val="28"/>
          <w:lang w:val="vi-VN"/>
        </w:rPr>
        <w:tab/>
      </w:r>
      <w:r>
        <w:rPr>
          <w:b/>
          <w:spacing w:val="-2"/>
          <w:sz w:val="28"/>
          <w:szCs w:val="28"/>
        </w:rPr>
        <w:t xml:space="preserve">1. Tiêu chí xác định vị trí và số lượng vị trí đất nông nghiệp </w:t>
      </w:r>
    </w:p>
    <w:p>
      <w:pPr>
        <w:spacing w:before="120"/>
        <w:ind w:firstLine="720"/>
        <w:jc w:val="both"/>
        <w:rPr>
          <w:bCs/>
          <w:sz w:val="28"/>
          <w:szCs w:val="28"/>
        </w:rPr>
      </w:pPr>
      <w:r>
        <w:rPr>
          <w:bCs/>
          <w:sz w:val="28"/>
          <w:szCs w:val="28"/>
          <w:lang w:val="en-US"/>
        </w:rPr>
        <w:t>1.1</w:t>
      </w:r>
      <w:r>
        <w:rPr>
          <w:bCs/>
          <w:sz w:val="28"/>
          <w:szCs w:val="28"/>
        </w:rPr>
        <w:t>. Tiêu chí xác định vị trí</w:t>
      </w:r>
    </w:p>
    <w:p>
      <w:pPr>
        <w:spacing w:before="120"/>
        <w:ind w:firstLine="720"/>
        <w:jc w:val="both"/>
        <w:rPr>
          <w:bCs/>
          <w:sz w:val="28"/>
          <w:szCs w:val="28"/>
        </w:rPr>
      </w:pPr>
      <w:r>
        <w:rPr>
          <w:bCs/>
          <w:sz w:val="28"/>
          <w:szCs w:val="28"/>
        </w:rPr>
        <w:t>Việc xác định vị trí đất nông nghiệp căn cứ vào các tiêu chí sau đây:</w:t>
      </w:r>
    </w:p>
    <w:p>
      <w:pPr>
        <w:spacing w:before="120"/>
        <w:ind w:firstLine="720"/>
        <w:jc w:val="both"/>
        <w:rPr>
          <w:bCs/>
          <w:iCs/>
          <w:sz w:val="28"/>
          <w:szCs w:val="28"/>
          <w:lang w:val="vi-VN"/>
        </w:rPr>
      </w:pPr>
      <w:r>
        <w:rPr>
          <w:bCs/>
          <w:iCs/>
          <w:sz w:val="28"/>
          <w:szCs w:val="28"/>
          <w:lang w:val="vi-VN"/>
        </w:rPr>
        <w:t>a) N</w:t>
      </w:r>
      <w:r>
        <w:rPr>
          <w:bCs/>
          <w:iCs/>
          <w:sz w:val="28"/>
          <w:szCs w:val="28"/>
        </w:rPr>
        <w:t>ăng suất cây trồng, vật nuôi</w:t>
      </w:r>
      <w:r>
        <w:rPr>
          <w:bCs/>
          <w:iCs/>
          <w:sz w:val="28"/>
          <w:szCs w:val="28"/>
          <w:lang w:val="vi-VN"/>
        </w:rPr>
        <w:t xml:space="preserve">; </w:t>
      </w:r>
    </w:p>
    <w:p>
      <w:pPr>
        <w:spacing w:before="120"/>
        <w:ind w:firstLine="720"/>
        <w:jc w:val="both"/>
        <w:rPr>
          <w:bCs/>
          <w:iCs/>
          <w:sz w:val="28"/>
          <w:szCs w:val="28"/>
          <w:lang w:val="vi-VN"/>
        </w:rPr>
      </w:pPr>
      <w:r>
        <w:rPr>
          <w:bCs/>
          <w:iCs/>
          <w:sz w:val="28"/>
          <w:szCs w:val="28"/>
          <w:lang w:val="vi-VN"/>
        </w:rPr>
        <w:t xml:space="preserve">b) </w:t>
      </w:r>
      <w:r>
        <w:rPr>
          <w:bCs/>
          <w:iCs/>
          <w:sz w:val="28"/>
          <w:szCs w:val="28"/>
        </w:rPr>
        <w:t>Khoảng cách đến nơi sản xuất, tiêu thụ sản phẩm</w:t>
      </w:r>
      <w:r>
        <w:rPr>
          <w:bCs/>
          <w:iCs/>
          <w:sz w:val="28"/>
          <w:szCs w:val="28"/>
          <w:lang w:val="vi-VN"/>
        </w:rPr>
        <w:t>;</w:t>
      </w:r>
    </w:p>
    <w:p>
      <w:pPr>
        <w:spacing w:before="120"/>
        <w:ind w:firstLine="720"/>
        <w:jc w:val="both"/>
        <w:rPr>
          <w:bCs/>
          <w:iCs/>
          <w:sz w:val="28"/>
          <w:szCs w:val="28"/>
          <w:lang w:val="vi-VN"/>
        </w:rPr>
      </w:pPr>
      <w:r>
        <w:rPr>
          <w:bCs/>
          <w:iCs/>
          <w:sz w:val="28"/>
          <w:szCs w:val="28"/>
          <w:lang w:val="vi-VN"/>
        </w:rPr>
        <w:t xml:space="preserve">c) </w:t>
      </w:r>
      <w:r>
        <w:rPr>
          <w:bCs/>
          <w:iCs/>
          <w:sz w:val="28"/>
          <w:szCs w:val="28"/>
        </w:rPr>
        <w:t>Điều kiện giao thông phục vụ sản xuất, tiêu thụ sản phẩm</w:t>
      </w:r>
      <w:r>
        <w:rPr>
          <w:bCs/>
          <w:iCs/>
          <w:sz w:val="28"/>
          <w:szCs w:val="28"/>
          <w:lang w:val="vi-VN"/>
        </w:rPr>
        <w:t>.</w:t>
      </w:r>
    </w:p>
    <w:p>
      <w:pPr>
        <w:spacing w:before="120"/>
        <w:ind w:firstLine="720"/>
        <w:jc w:val="both"/>
        <w:rPr>
          <w:bCs/>
          <w:iCs/>
          <w:sz w:val="28"/>
          <w:szCs w:val="28"/>
        </w:rPr>
      </w:pPr>
      <w:r>
        <w:rPr>
          <w:bCs/>
          <w:iCs/>
          <w:sz w:val="28"/>
          <w:szCs w:val="28"/>
          <w:lang w:val="en-US"/>
        </w:rPr>
        <w:t>1.</w:t>
      </w:r>
      <w:r>
        <w:rPr>
          <w:bCs/>
          <w:iCs/>
          <w:sz w:val="28"/>
          <w:szCs w:val="28"/>
        </w:rPr>
        <w:t>2. Số lượng vị trí đất:</w:t>
      </w:r>
    </w:p>
    <w:p>
      <w:pPr>
        <w:spacing w:before="120"/>
        <w:ind w:firstLine="720"/>
        <w:jc w:val="both"/>
        <w:rPr>
          <w:bCs/>
          <w:iCs/>
          <w:sz w:val="28"/>
          <w:szCs w:val="28"/>
        </w:rPr>
      </w:pPr>
      <w:r>
        <w:rPr>
          <w:bCs/>
          <w:iCs/>
          <w:sz w:val="28"/>
          <w:szCs w:val="28"/>
        </w:rPr>
        <w:t xml:space="preserve">- Đất trồng cây </w:t>
      </w:r>
      <w:r>
        <w:rPr>
          <w:bCs/>
          <w:iCs/>
          <w:sz w:val="28"/>
          <w:szCs w:val="28"/>
          <w:lang w:val="vi-VN"/>
        </w:rPr>
        <w:t>hằng</w:t>
      </w:r>
      <w:r>
        <w:rPr>
          <w:bCs/>
          <w:iCs/>
          <w:sz w:val="28"/>
          <w:szCs w:val="28"/>
        </w:rPr>
        <w:t xml:space="preserve"> năm: 02 vị trí;</w:t>
      </w:r>
    </w:p>
    <w:p>
      <w:pPr>
        <w:spacing w:before="120"/>
        <w:ind w:firstLine="720"/>
        <w:jc w:val="both"/>
        <w:rPr>
          <w:bCs/>
          <w:iCs/>
          <w:sz w:val="28"/>
          <w:szCs w:val="28"/>
        </w:rPr>
      </w:pPr>
      <w:r>
        <w:rPr>
          <w:bCs/>
          <w:iCs/>
          <w:sz w:val="28"/>
          <w:szCs w:val="28"/>
        </w:rPr>
        <w:t>- Đất trồng cây lâu năm: 02 vị trí;</w:t>
      </w:r>
    </w:p>
    <w:p>
      <w:pPr>
        <w:spacing w:before="120"/>
        <w:ind w:firstLine="720"/>
        <w:jc w:val="both"/>
        <w:rPr>
          <w:bCs/>
          <w:iCs/>
          <w:sz w:val="28"/>
          <w:szCs w:val="28"/>
        </w:rPr>
      </w:pPr>
      <w:r>
        <w:rPr>
          <w:bCs/>
          <w:iCs/>
          <w:sz w:val="28"/>
          <w:szCs w:val="28"/>
        </w:rPr>
        <w:t>- Đất nuôi trồng thủy sản: 02 vị trí;</w:t>
      </w:r>
    </w:p>
    <w:p>
      <w:pPr>
        <w:spacing w:before="120"/>
        <w:ind w:firstLine="720"/>
        <w:jc w:val="both"/>
        <w:rPr>
          <w:bCs/>
          <w:iCs/>
          <w:sz w:val="28"/>
          <w:szCs w:val="28"/>
        </w:rPr>
      </w:pPr>
      <w:r>
        <w:rPr>
          <w:bCs/>
          <w:iCs/>
          <w:sz w:val="28"/>
          <w:szCs w:val="28"/>
        </w:rPr>
        <w:t>- Đất làm muối: 01 vị trí.</w:t>
      </w:r>
    </w:p>
    <w:p>
      <w:pPr>
        <w:spacing w:before="120"/>
        <w:ind w:firstLine="720"/>
        <w:jc w:val="both"/>
        <w:rPr>
          <w:bCs/>
          <w:iCs/>
          <w:sz w:val="28"/>
          <w:szCs w:val="28"/>
        </w:rPr>
      </w:pPr>
      <w:r>
        <w:rPr>
          <w:bCs/>
          <w:iCs/>
          <w:sz w:val="28"/>
          <w:szCs w:val="28"/>
        </w:rPr>
        <w:t>- Đất rừng sản xuất: 02 vị trí.</w:t>
      </w:r>
    </w:p>
    <w:p>
      <w:pPr>
        <w:spacing w:before="120"/>
        <w:ind w:firstLine="720"/>
        <w:jc w:val="both"/>
        <w:rPr>
          <w:bCs/>
          <w:iCs/>
          <w:sz w:val="28"/>
          <w:szCs w:val="28"/>
        </w:rPr>
      </w:pPr>
      <w:r>
        <w:rPr>
          <w:b/>
          <w:bCs/>
          <w:iCs/>
          <w:sz w:val="28"/>
          <w:szCs w:val="28"/>
          <w:lang w:val="en-US"/>
        </w:rPr>
        <w:t>2</w:t>
      </w:r>
      <w:r>
        <w:rPr>
          <w:b/>
          <w:bCs/>
          <w:iCs/>
          <w:sz w:val="28"/>
          <w:szCs w:val="28"/>
        </w:rPr>
        <w:t>.</w:t>
      </w:r>
      <w:r>
        <w:rPr>
          <w:bCs/>
          <w:iCs/>
          <w:sz w:val="28"/>
          <w:szCs w:val="28"/>
        </w:rPr>
        <w:t xml:space="preserve"> </w:t>
      </w:r>
      <w:r>
        <w:rPr>
          <w:b/>
          <w:spacing w:val="-2"/>
          <w:sz w:val="28"/>
          <w:szCs w:val="28"/>
        </w:rPr>
        <w:t>Tiêu chí xác định vị trí và số lượng vị trí đất phi nông nghiệp</w:t>
      </w:r>
    </w:p>
    <w:p>
      <w:pPr>
        <w:spacing w:before="120"/>
        <w:ind w:firstLine="720"/>
        <w:jc w:val="both"/>
        <w:rPr>
          <w:bCs/>
          <w:sz w:val="28"/>
          <w:szCs w:val="28"/>
        </w:rPr>
      </w:pPr>
      <w:r>
        <w:rPr>
          <w:bCs/>
          <w:iCs/>
          <w:sz w:val="28"/>
          <w:szCs w:val="28"/>
          <w:lang w:val="en-US"/>
        </w:rPr>
        <w:t>2.</w:t>
      </w:r>
      <w:r>
        <w:rPr>
          <w:bCs/>
          <w:iCs/>
          <w:sz w:val="28"/>
          <w:szCs w:val="28"/>
        </w:rPr>
        <w:t xml:space="preserve">1. </w:t>
      </w:r>
      <w:r>
        <w:rPr>
          <w:bCs/>
          <w:sz w:val="28"/>
          <w:szCs w:val="28"/>
        </w:rPr>
        <w:t>Tiêu chí xác định vị trí</w:t>
      </w:r>
    </w:p>
    <w:p>
      <w:pPr>
        <w:spacing w:before="120"/>
        <w:ind w:firstLine="720"/>
        <w:jc w:val="both"/>
        <w:rPr>
          <w:bCs/>
          <w:sz w:val="28"/>
          <w:szCs w:val="28"/>
        </w:rPr>
      </w:pPr>
      <w:r>
        <w:rPr>
          <w:bCs/>
          <w:sz w:val="28"/>
          <w:szCs w:val="28"/>
        </w:rPr>
        <w:t>Việc xác định vị trí đất căn cứ vào các tiêu chí sau đây:</w:t>
      </w:r>
    </w:p>
    <w:p>
      <w:pPr>
        <w:spacing w:before="120"/>
        <w:ind w:firstLine="720"/>
        <w:jc w:val="both"/>
        <w:rPr>
          <w:bCs/>
          <w:iCs/>
          <w:sz w:val="28"/>
          <w:szCs w:val="28"/>
          <w:lang w:val="vi-VN"/>
        </w:rPr>
      </w:pPr>
      <w:r>
        <w:rPr>
          <w:bCs/>
          <w:iCs/>
          <w:sz w:val="28"/>
          <w:szCs w:val="28"/>
          <w:lang w:val="vi-VN"/>
        </w:rPr>
        <w:t xml:space="preserve">a) </w:t>
      </w:r>
      <w:r>
        <w:rPr>
          <w:bCs/>
          <w:iCs/>
          <w:sz w:val="28"/>
          <w:szCs w:val="28"/>
        </w:rPr>
        <w:t>Mặt tiền đường, đoạn đường, ngõ, ngách, hẻm (sau đây gọi chung là đường, đoạn đường)</w:t>
      </w:r>
      <w:r>
        <w:rPr>
          <w:bCs/>
          <w:iCs/>
          <w:sz w:val="28"/>
          <w:szCs w:val="28"/>
          <w:lang w:val="vi-VN"/>
        </w:rPr>
        <w:t xml:space="preserve"> </w:t>
      </w:r>
      <w:r>
        <w:rPr>
          <w:bCs/>
          <w:iCs/>
          <w:sz w:val="28"/>
          <w:szCs w:val="28"/>
        </w:rPr>
        <w:t>mà thửa đất tiếp giáp</w:t>
      </w:r>
      <w:r>
        <w:rPr>
          <w:bCs/>
          <w:iCs/>
          <w:sz w:val="28"/>
          <w:szCs w:val="28"/>
          <w:lang w:val="vi-VN"/>
        </w:rPr>
        <w:t>;</w:t>
      </w:r>
    </w:p>
    <w:p>
      <w:pPr>
        <w:spacing w:before="120"/>
        <w:ind w:firstLine="720"/>
        <w:jc w:val="both"/>
        <w:rPr>
          <w:bCs/>
          <w:iCs/>
          <w:spacing w:val="-6"/>
          <w:sz w:val="28"/>
          <w:szCs w:val="28"/>
        </w:rPr>
      </w:pPr>
      <w:r>
        <w:rPr>
          <w:bCs/>
          <w:iCs/>
          <w:spacing w:val="-6"/>
          <w:sz w:val="28"/>
          <w:szCs w:val="28"/>
          <w:lang w:val="vi-VN"/>
        </w:rPr>
        <w:t>b)</w:t>
      </w:r>
      <w:r>
        <w:rPr>
          <w:bCs/>
          <w:iCs/>
          <w:spacing w:val="-6"/>
          <w:sz w:val="28"/>
          <w:szCs w:val="28"/>
        </w:rPr>
        <w:t xml:space="preserve"> Độ rộng của đường, đoạn đường</w:t>
      </w:r>
      <w:r>
        <w:rPr>
          <w:bCs/>
          <w:iCs/>
          <w:spacing w:val="-6"/>
          <w:sz w:val="28"/>
          <w:szCs w:val="28"/>
          <w:lang w:val="vi-VN"/>
        </w:rPr>
        <w:t xml:space="preserve"> chưa có giá trong bảng giá đất</w:t>
      </w:r>
      <w:r>
        <w:rPr>
          <w:bCs/>
          <w:iCs/>
          <w:spacing w:val="-6"/>
          <w:sz w:val="28"/>
          <w:szCs w:val="28"/>
        </w:rPr>
        <w:t>.</w:t>
      </w:r>
    </w:p>
    <w:p>
      <w:pPr>
        <w:spacing w:before="120"/>
        <w:ind w:firstLine="720"/>
        <w:jc w:val="both"/>
        <w:rPr>
          <w:bCs/>
          <w:iCs/>
          <w:sz w:val="28"/>
          <w:szCs w:val="28"/>
          <w:lang w:val="en-US"/>
        </w:rPr>
      </w:pPr>
      <w:r>
        <w:rPr>
          <w:bCs/>
          <w:sz w:val="28"/>
          <w:szCs w:val="28"/>
        </w:rPr>
        <w:t>2</w:t>
      </w:r>
      <w:r>
        <w:rPr>
          <w:bCs/>
          <w:sz w:val="28"/>
          <w:szCs w:val="28"/>
          <w:lang w:val="en-US"/>
        </w:rPr>
        <w:t>.2</w:t>
      </w:r>
      <w:r>
        <w:rPr>
          <w:bCs/>
          <w:sz w:val="28"/>
          <w:szCs w:val="28"/>
        </w:rPr>
        <w:t>. Số lượng vị trí đất</w:t>
      </w:r>
      <w:r>
        <w:rPr>
          <w:bCs/>
          <w:sz w:val="28"/>
          <w:szCs w:val="28"/>
          <w:lang w:val="en-US"/>
        </w:rPr>
        <w:t>: 04 vị trí, cụ thể như sau:</w:t>
      </w:r>
    </w:p>
    <w:p>
      <w:pPr>
        <w:spacing w:before="120"/>
        <w:ind w:firstLine="720"/>
        <w:jc w:val="both"/>
        <w:rPr>
          <w:bCs/>
          <w:iCs/>
          <w:sz w:val="28"/>
          <w:szCs w:val="28"/>
        </w:rPr>
      </w:pPr>
      <w:r>
        <w:rPr>
          <w:bCs/>
          <w:iCs/>
          <w:sz w:val="28"/>
          <w:szCs w:val="28"/>
        </w:rPr>
        <w:t>a) Vị trí 1: áp dụng đối với thửa đất có ít nhất một mặt giáp với đường, đoạn đường được quy định trong bảng giá đất;</w:t>
      </w:r>
    </w:p>
    <w:p>
      <w:pPr>
        <w:spacing w:before="120"/>
        <w:ind w:firstLine="720"/>
        <w:jc w:val="both"/>
        <w:rPr>
          <w:bCs/>
          <w:iCs/>
          <w:sz w:val="28"/>
          <w:szCs w:val="28"/>
        </w:rPr>
      </w:pPr>
      <w:r>
        <w:rPr>
          <w:bCs/>
          <w:iCs/>
          <w:sz w:val="28"/>
          <w:szCs w:val="28"/>
        </w:rPr>
        <w:t>b) Vị trí 2: áp dụng đối với thửa đất có ít nhất một mặt giáp với đường, đoạn đường chưa được quy định trong bảng giá có mặt cắt (là mặt cắt nhỏ nhất tính từ đường, đoạn đường được quy định trong bảng giá đất tới vị trí thửa đất) từ 3,0 m trở lên. Hệ số bằng 0,80 so với vị trí 1;</w:t>
      </w:r>
    </w:p>
    <w:p>
      <w:pPr>
        <w:spacing w:before="120"/>
        <w:ind w:firstLine="720"/>
        <w:jc w:val="both"/>
        <w:rPr>
          <w:bCs/>
          <w:iCs/>
          <w:sz w:val="28"/>
          <w:szCs w:val="28"/>
        </w:rPr>
      </w:pPr>
      <w:r>
        <w:rPr>
          <w:bCs/>
          <w:iCs/>
          <w:sz w:val="28"/>
          <w:szCs w:val="28"/>
        </w:rPr>
        <w:t>c) Vị trí 3: áp dụng đối với thửa đất có ít nhất một mặt giáp với đường, đoạn đường chưa được quy định trong bảng giá có mặt cắt (là mặt cắt nhỏ nhất tính từ đường, đoạn đường được quy định trong bảng giá đất tới vị trí thửa đất) từ 2,0 m đến dưới 3,0 m. Hệ số bằng 0,60 so với vị trí 1;</w:t>
      </w:r>
    </w:p>
    <w:p>
      <w:pPr>
        <w:spacing w:before="120"/>
        <w:ind w:firstLine="720"/>
        <w:jc w:val="both"/>
        <w:rPr>
          <w:bCs/>
          <w:iCs/>
          <w:sz w:val="28"/>
          <w:szCs w:val="28"/>
        </w:rPr>
      </w:pPr>
      <w:r>
        <w:rPr>
          <w:bCs/>
          <w:iCs/>
          <w:sz w:val="28"/>
          <w:szCs w:val="28"/>
        </w:rPr>
        <w:t xml:space="preserve">d) Vị trí 4: áp dụng đối với thửa đất có ít nhất một mặt giáp với đường, đoạn đường chưa được quy định trong bảng giá có mặt cắt (là mặt cắt nhỏ nhất tính từ </w:t>
      </w:r>
      <w:r>
        <w:rPr>
          <w:bCs/>
          <w:iCs/>
          <w:sz w:val="28"/>
          <w:szCs w:val="28"/>
        </w:rPr>
        <w:lastRenderedPageBreak/>
        <w:t>đường, đoạn đường được quy định trong bảng giá đất tới vị trí thửa đất) dưới 2,0m. Hệ số bằng 0,40 so với vị trí 1.</w:t>
      </w:r>
    </w:p>
    <w:p>
      <w:pPr>
        <w:spacing w:before="120"/>
        <w:ind w:firstLine="720"/>
        <w:jc w:val="both"/>
        <w:rPr>
          <w:b/>
          <w:sz w:val="28"/>
          <w:szCs w:val="28"/>
        </w:rPr>
      </w:pPr>
      <w:r>
        <w:rPr>
          <w:b/>
          <w:sz w:val="28"/>
          <w:szCs w:val="28"/>
        </w:rPr>
        <w:t>3. Giá đất nông nghiệp</w:t>
      </w:r>
    </w:p>
    <w:p>
      <w:pPr>
        <w:spacing w:before="120"/>
        <w:ind w:firstLine="720"/>
        <w:jc w:val="both"/>
        <w:rPr>
          <w:spacing w:val="2"/>
          <w:sz w:val="28"/>
          <w:szCs w:val="28"/>
        </w:rPr>
      </w:pPr>
      <w:r>
        <w:rPr>
          <w:spacing w:val="2"/>
          <w:sz w:val="28"/>
          <w:szCs w:val="28"/>
          <w:lang w:val="en-US"/>
        </w:rPr>
        <w:t>3.</w:t>
      </w:r>
      <w:r>
        <w:rPr>
          <w:spacing w:val="2"/>
          <w:sz w:val="28"/>
          <w:szCs w:val="28"/>
        </w:rPr>
        <w:t>1. Đối với đất trồng cây hằng năm, đất trồng cây lâu năm, đất rừng sản xuất, đất nuôi trồng thủy sản được xác định giá theo vị trí, quy định cụ thể tại các bảng:</w:t>
      </w:r>
    </w:p>
    <w:p>
      <w:pPr>
        <w:spacing w:before="120"/>
        <w:ind w:firstLine="720"/>
        <w:jc w:val="both"/>
        <w:rPr>
          <w:sz w:val="28"/>
          <w:szCs w:val="28"/>
        </w:rPr>
      </w:pPr>
      <w:r>
        <w:rPr>
          <w:sz w:val="28"/>
          <w:szCs w:val="28"/>
        </w:rPr>
        <w:t>a) Giá đất trồng cây hằng năm, bao gồm đất trồng lúa và đất trồng cây hằng năm khác (Bảng 01 kèm theo);</w:t>
      </w:r>
    </w:p>
    <w:p>
      <w:pPr>
        <w:spacing w:before="120"/>
        <w:ind w:firstLine="720"/>
        <w:jc w:val="both"/>
        <w:rPr>
          <w:sz w:val="28"/>
          <w:szCs w:val="28"/>
        </w:rPr>
      </w:pPr>
      <w:r>
        <w:rPr>
          <w:sz w:val="28"/>
          <w:szCs w:val="28"/>
        </w:rPr>
        <w:t>b) Giá đất trồng cây lâu năm (Bảng 02 kèm theo);</w:t>
      </w:r>
    </w:p>
    <w:p>
      <w:pPr>
        <w:spacing w:before="120"/>
        <w:ind w:firstLine="720"/>
        <w:jc w:val="both"/>
        <w:rPr>
          <w:sz w:val="28"/>
          <w:szCs w:val="28"/>
        </w:rPr>
      </w:pPr>
      <w:r>
        <w:rPr>
          <w:sz w:val="28"/>
          <w:szCs w:val="28"/>
        </w:rPr>
        <w:t>c) Giá đất rừng sản xuất (Bảng 03 kèm theo);</w:t>
      </w:r>
    </w:p>
    <w:p>
      <w:pPr>
        <w:spacing w:before="120"/>
        <w:ind w:firstLine="720"/>
        <w:jc w:val="both"/>
        <w:rPr>
          <w:sz w:val="28"/>
          <w:szCs w:val="28"/>
        </w:rPr>
      </w:pPr>
      <w:r>
        <w:rPr>
          <w:sz w:val="28"/>
          <w:szCs w:val="28"/>
        </w:rPr>
        <w:t>d) Giá đất nuôi trồng thủy sản (Bảng 04 kèm theo).</w:t>
      </w:r>
    </w:p>
    <w:p>
      <w:pPr>
        <w:spacing w:before="120"/>
        <w:ind w:firstLine="720"/>
        <w:jc w:val="both"/>
        <w:rPr>
          <w:sz w:val="28"/>
          <w:szCs w:val="28"/>
        </w:rPr>
      </w:pPr>
      <w:r>
        <w:rPr>
          <w:sz w:val="28"/>
          <w:szCs w:val="28"/>
          <w:lang w:val="en-US"/>
        </w:rPr>
        <w:t>3.</w:t>
      </w:r>
      <w:r>
        <w:rPr>
          <w:sz w:val="28"/>
          <w:szCs w:val="28"/>
        </w:rPr>
        <w:t>2. Giá đất làm muối (Bảng 05 kèm theo).</w:t>
      </w:r>
    </w:p>
    <w:p>
      <w:pPr>
        <w:spacing w:before="120"/>
        <w:ind w:firstLine="720"/>
        <w:jc w:val="both"/>
        <w:rPr>
          <w:sz w:val="28"/>
          <w:szCs w:val="28"/>
        </w:rPr>
      </w:pPr>
      <w:r>
        <w:rPr>
          <w:bCs/>
          <w:iCs/>
          <w:sz w:val="28"/>
          <w:szCs w:val="28"/>
          <w:lang w:val="en-US"/>
        </w:rPr>
        <w:t>3.</w:t>
      </w:r>
      <w:r>
        <w:rPr>
          <w:bCs/>
          <w:iCs/>
          <w:sz w:val="28"/>
          <w:szCs w:val="28"/>
        </w:rPr>
        <w:t xml:space="preserve">3. </w:t>
      </w:r>
      <w:r>
        <w:rPr>
          <w:sz w:val="28"/>
          <w:szCs w:val="28"/>
        </w:rPr>
        <w:t>Giá đất rừng phòng hộ, đất rừng đặc dụng: Tính bằng giá đất rừng sản xuất có cùng vị trí.</w:t>
      </w:r>
    </w:p>
    <w:p>
      <w:pPr>
        <w:spacing w:before="120"/>
        <w:ind w:firstLine="720"/>
        <w:jc w:val="both"/>
        <w:rPr>
          <w:sz w:val="28"/>
          <w:szCs w:val="28"/>
        </w:rPr>
      </w:pPr>
      <w:r>
        <w:rPr>
          <w:sz w:val="28"/>
          <w:szCs w:val="28"/>
          <w:lang w:val="en-US"/>
        </w:rPr>
        <w:t>3.</w:t>
      </w:r>
      <w:r>
        <w:rPr>
          <w:sz w:val="28"/>
          <w:szCs w:val="28"/>
        </w:rPr>
        <w:t>4. Giá đất chăn nuôi tập trung, đất nông nghiệp khác được xác định bằng giá đất trồng cây hằng năm tại vị trí 1 của cùng xã, phường.</w:t>
      </w:r>
    </w:p>
    <w:p>
      <w:pPr>
        <w:spacing w:before="120"/>
        <w:ind w:firstLine="720"/>
        <w:rPr>
          <w:b/>
          <w:bCs/>
          <w:sz w:val="28"/>
          <w:szCs w:val="28"/>
        </w:rPr>
      </w:pPr>
      <w:r>
        <w:rPr>
          <w:b/>
          <w:sz w:val="28"/>
          <w:szCs w:val="28"/>
          <w:lang w:val="en-US"/>
        </w:rPr>
        <w:t>4</w:t>
      </w:r>
      <w:r>
        <w:rPr>
          <w:b/>
          <w:sz w:val="28"/>
          <w:szCs w:val="28"/>
        </w:rPr>
        <w:t xml:space="preserve">. </w:t>
      </w:r>
      <w:r>
        <w:rPr>
          <w:b/>
          <w:bCs/>
          <w:sz w:val="28"/>
          <w:szCs w:val="28"/>
        </w:rPr>
        <w:t>Giá đất phi nông nghiệp</w:t>
      </w:r>
    </w:p>
    <w:p>
      <w:pPr>
        <w:spacing w:before="120"/>
        <w:ind w:firstLine="720"/>
        <w:rPr>
          <w:bCs/>
          <w:sz w:val="28"/>
          <w:szCs w:val="28"/>
        </w:rPr>
      </w:pPr>
      <w:r>
        <w:rPr>
          <w:bCs/>
          <w:sz w:val="28"/>
          <w:szCs w:val="28"/>
          <w:lang w:val="en-US"/>
        </w:rPr>
        <w:t>4.1</w:t>
      </w:r>
      <w:r>
        <w:rPr>
          <w:bCs/>
          <w:sz w:val="28"/>
          <w:szCs w:val="28"/>
        </w:rPr>
        <w:t>. Quy định giá các loại đất:</w:t>
      </w:r>
    </w:p>
    <w:p>
      <w:pPr>
        <w:spacing w:before="120"/>
        <w:ind w:firstLine="720"/>
        <w:jc w:val="both"/>
        <w:rPr>
          <w:sz w:val="28"/>
          <w:szCs w:val="28"/>
        </w:rPr>
      </w:pPr>
      <w:bookmarkStart w:id="4" w:name="khoan_1_7"/>
      <w:r>
        <w:rPr>
          <w:sz w:val="28"/>
          <w:szCs w:val="28"/>
        </w:rPr>
        <w:t>a) Giá đất khu công nghiệp, cụm công nghiệp (Bảng 06 kèm theo).</w:t>
      </w:r>
    </w:p>
    <w:bookmarkEnd w:id="4"/>
    <w:p>
      <w:pPr>
        <w:spacing w:before="120"/>
        <w:ind w:firstLine="720"/>
        <w:rPr>
          <w:sz w:val="28"/>
          <w:szCs w:val="28"/>
        </w:rPr>
      </w:pPr>
      <w:r>
        <w:rPr>
          <w:sz w:val="28"/>
          <w:szCs w:val="28"/>
        </w:rPr>
        <w:t>b) Giá đất ở tại đô thị (Bảng 07 kèm theo).</w:t>
      </w:r>
    </w:p>
    <w:p>
      <w:pPr>
        <w:spacing w:before="120"/>
        <w:ind w:firstLine="720"/>
        <w:jc w:val="both"/>
        <w:rPr>
          <w:sz w:val="28"/>
          <w:szCs w:val="28"/>
        </w:rPr>
      </w:pPr>
      <w:r>
        <w:rPr>
          <w:sz w:val="28"/>
          <w:szCs w:val="28"/>
        </w:rPr>
        <w:t>c) Giá đất ở tại nông thôn (Bảng 08 kèm theo).</w:t>
      </w:r>
    </w:p>
    <w:p>
      <w:pPr>
        <w:spacing w:before="120"/>
        <w:ind w:firstLine="720"/>
        <w:jc w:val="both"/>
        <w:rPr>
          <w:sz w:val="28"/>
          <w:szCs w:val="28"/>
        </w:rPr>
      </w:pPr>
      <w:r>
        <w:rPr>
          <w:sz w:val="28"/>
          <w:szCs w:val="28"/>
        </w:rPr>
        <w:t>d) Giá đất thương mại, dịch vụ; đất cơ sở sản xuất phi nông nghiệp; đất sử dụng cho hoạt động khoáng sản (Bảng 09 kèm theo).</w:t>
      </w:r>
    </w:p>
    <w:p>
      <w:pPr>
        <w:spacing w:before="120"/>
        <w:ind w:firstLine="720"/>
        <w:jc w:val="both"/>
        <w:rPr>
          <w:sz w:val="28"/>
          <w:szCs w:val="28"/>
        </w:rPr>
      </w:pPr>
      <w:r>
        <w:rPr>
          <w:sz w:val="28"/>
          <w:szCs w:val="28"/>
        </w:rPr>
        <w:t>đ) Giá đất sử dụng vào các mục đích công cộng có mục đích kinh doanh, đất phi nông nghiệp khác được xác định bằng giá đất cơ sở sản xuất phi nông nghiệp cùng vị trí, đường, đoạn đường tại cùng xã, phường.</w:t>
      </w:r>
    </w:p>
    <w:p>
      <w:pPr>
        <w:spacing w:before="120"/>
        <w:ind w:firstLine="720"/>
        <w:jc w:val="both"/>
        <w:rPr>
          <w:sz w:val="28"/>
          <w:szCs w:val="28"/>
        </w:rPr>
      </w:pPr>
      <w:r>
        <w:rPr>
          <w:sz w:val="28"/>
          <w:szCs w:val="28"/>
        </w:rPr>
        <w:t>e) Giá đất xây dựng trụ sở cơ quan; đất sử dụng vào các mục đích công cộng không có mục đích kinh doanh, đất tôn giáo, đất tín ngưỡng được xác định bằng giá đất ở cùng vị trí, đường, đoạn đường tại cùng xã, phường.</w:t>
      </w:r>
    </w:p>
    <w:p>
      <w:pPr>
        <w:spacing w:before="120"/>
        <w:ind w:firstLine="720"/>
        <w:jc w:val="both"/>
        <w:rPr>
          <w:sz w:val="28"/>
          <w:szCs w:val="28"/>
        </w:rPr>
      </w:pPr>
      <w:r>
        <w:rPr>
          <w:sz w:val="28"/>
          <w:szCs w:val="28"/>
        </w:rPr>
        <w:t>g) Giá đất xây dựng công trình sự nghiệp được xác định bằng giá đất thương mại, dịch vụ cùng vị trí, đường, đoạn đường tại cùng xã, phường.</w:t>
      </w:r>
    </w:p>
    <w:p>
      <w:pPr>
        <w:spacing w:before="120"/>
        <w:ind w:firstLine="720"/>
        <w:jc w:val="both"/>
        <w:rPr>
          <w:sz w:val="28"/>
          <w:szCs w:val="28"/>
        </w:rPr>
      </w:pPr>
      <w:r>
        <w:rPr>
          <w:sz w:val="28"/>
          <w:szCs w:val="28"/>
        </w:rPr>
        <w:t>h) Giá đất nghĩa trang, nhà tang lễ, cơ sở hỏa táng; đất cơ sở lưu trữ tro cốt được xác định bằng giá đất thương mại, dịch vụ cùng vị trí, đường, đoạn đường tại cùng xã, phường.</w:t>
      </w:r>
    </w:p>
    <w:p>
      <w:pPr>
        <w:spacing w:before="120"/>
        <w:ind w:firstLine="720"/>
        <w:jc w:val="both"/>
        <w:rPr>
          <w:sz w:val="28"/>
          <w:szCs w:val="28"/>
        </w:rPr>
      </w:pPr>
      <w:r>
        <w:rPr>
          <w:sz w:val="28"/>
          <w:szCs w:val="28"/>
        </w:rPr>
        <w:t xml:space="preserve">i) Giá đất mặt nước chuyên dùng sử dụng vào mục đích nuôi trồng thủy sản được xác định bằng giá đất nuôi trồng thủy sản tại vị trí 2 của cùng xã, phường. Trường hợp không sử dụng vào mục đích nuôi trồng thủy sản được xác định bằng </w:t>
      </w:r>
      <w:r>
        <w:rPr>
          <w:sz w:val="28"/>
          <w:szCs w:val="28"/>
        </w:rPr>
        <w:lastRenderedPageBreak/>
        <w:t>giá đất cơ sở sản xuất phi nông nghiệp của vị trí 2 tại cùng xã, phường.</w:t>
      </w:r>
    </w:p>
    <w:p>
      <w:pPr>
        <w:spacing w:before="120"/>
        <w:ind w:firstLine="720"/>
        <w:jc w:val="both"/>
        <w:rPr>
          <w:sz w:val="28"/>
          <w:szCs w:val="28"/>
          <w:lang w:val="en-GB"/>
        </w:rPr>
      </w:pPr>
      <w:r>
        <w:rPr>
          <w:sz w:val="28"/>
          <w:szCs w:val="28"/>
        </w:rPr>
        <w:t xml:space="preserve">k) </w:t>
      </w:r>
      <w:r>
        <w:rPr>
          <w:sz w:val="28"/>
          <w:szCs w:val="28"/>
          <w:lang w:val="en-GB"/>
        </w:rPr>
        <w:t xml:space="preserve">Giá đất phi nông nghiệp khác </w:t>
      </w:r>
      <w:r>
        <w:rPr>
          <w:sz w:val="28"/>
          <w:szCs w:val="28"/>
        </w:rPr>
        <w:t>được xác định bằng giá đất cơ sở sản xuất phi nông nghiệp cùng vị trí, đường, đoạn đường tại cùng xã, phường</w:t>
      </w:r>
      <w:r>
        <w:rPr>
          <w:sz w:val="28"/>
          <w:szCs w:val="28"/>
          <w:lang w:val="en-GB"/>
        </w:rPr>
        <w:t>.</w:t>
      </w:r>
    </w:p>
    <w:p>
      <w:pPr>
        <w:spacing w:before="120"/>
        <w:ind w:firstLine="720"/>
        <w:jc w:val="both"/>
        <w:rPr>
          <w:sz w:val="28"/>
          <w:szCs w:val="28"/>
        </w:rPr>
      </w:pPr>
      <w:r>
        <w:rPr>
          <w:sz w:val="28"/>
          <w:szCs w:val="28"/>
          <w:lang w:val="en-US"/>
        </w:rPr>
        <w:t>4.2.</w:t>
      </w:r>
      <w:r>
        <w:rPr>
          <w:sz w:val="28"/>
          <w:szCs w:val="28"/>
        </w:rPr>
        <w:t xml:space="preserve"> Các trường hợp đặc biệt:</w:t>
      </w:r>
    </w:p>
    <w:p>
      <w:pPr>
        <w:spacing w:before="120"/>
        <w:ind w:firstLine="720"/>
        <w:jc w:val="both"/>
        <w:rPr>
          <w:bCs/>
          <w:iCs/>
          <w:sz w:val="28"/>
          <w:szCs w:val="28"/>
        </w:rPr>
      </w:pPr>
      <w:r>
        <w:rPr>
          <w:bCs/>
          <w:iCs/>
          <w:sz w:val="28"/>
          <w:szCs w:val="28"/>
        </w:rPr>
        <w:t>a) Trường hợp thửa đất tiếp giáp với một mặt đường có từ 02 mức giá trở lên thì áp dụng theo mức giá cao nhất.</w:t>
      </w:r>
    </w:p>
    <w:p>
      <w:pPr>
        <w:spacing w:before="120"/>
        <w:ind w:firstLine="720"/>
        <w:jc w:val="both"/>
        <w:rPr>
          <w:bCs/>
          <w:iCs/>
          <w:spacing w:val="2"/>
          <w:sz w:val="28"/>
          <w:szCs w:val="28"/>
        </w:rPr>
      </w:pPr>
      <w:r>
        <w:rPr>
          <w:bCs/>
          <w:iCs/>
          <w:spacing w:val="2"/>
          <w:sz w:val="28"/>
          <w:szCs w:val="28"/>
        </w:rPr>
        <w:t>b) Trường hợp thửa đất (vị trí 2, vị trí 3, vị trí 4) có đường nối thông với nhiều đường, đoạn đường có giá đất khác nhau thì áp dụng theo vị trí của đường, đoạn đường có khoảng cách gần nhất. Nếu thửa đất có khoảng cách đến các đường, đoạn đường bằng nhau thì áp dụng theo đường, đoạn đường có giá đất cao nhất.</w:t>
      </w:r>
    </w:p>
    <w:p>
      <w:pPr>
        <w:spacing w:before="120"/>
        <w:ind w:firstLine="720"/>
        <w:jc w:val="both"/>
        <w:rPr>
          <w:bCs/>
          <w:iCs/>
          <w:sz w:val="28"/>
          <w:szCs w:val="28"/>
        </w:rPr>
      </w:pPr>
      <w:r>
        <w:rPr>
          <w:bCs/>
          <w:iCs/>
          <w:sz w:val="28"/>
          <w:szCs w:val="28"/>
        </w:rPr>
        <w:t>c) Trường hợp thửa đất tiếp giáp với nhiều đường (trừ khu công nghiệp, cụm công nghiệp):</w:t>
      </w:r>
    </w:p>
    <w:p>
      <w:pPr>
        <w:spacing w:before="120"/>
        <w:ind w:firstLine="720"/>
        <w:jc w:val="both"/>
        <w:rPr>
          <w:bCs/>
          <w:iCs/>
          <w:sz w:val="28"/>
          <w:szCs w:val="28"/>
        </w:rPr>
      </w:pPr>
      <w:r>
        <w:rPr>
          <w:bCs/>
          <w:iCs/>
          <w:sz w:val="28"/>
          <w:szCs w:val="28"/>
        </w:rPr>
        <w:t>- Thửa đất tại khu vực ngã ba, ngã tư giao cắt giữa các đường, đoạn đường mà có mặt tiếp giáp với hai đường, đoạn đường trở lên thì được tính hệ số bằng 1,2 giá đất của đường, đoạn đường có giá đất cao nhất; trường hợp tiếp giáp với hai đường, đoạn đường có giá đất bằng nhau thì giá đất xác định theo đường, đoạn đường của thửa đất có mặt tiếp giáp lớn hơn.</w:t>
      </w:r>
    </w:p>
    <w:p>
      <w:pPr>
        <w:spacing w:before="120"/>
        <w:ind w:firstLine="720"/>
        <w:jc w:val="both"/>
        <w:rPr>
          <w:bCs/>
          <w:iCs/>
          <w:sz w:val="28"/>
          <w:szCs w:val="28"/>
        </w:rPr>
      </w:pPr>
      <w:r>
        <w:rPr>
          <w:bCs/>
          <w:iCs/>
          <w:sz w:val="28"/>
          <w:szCs w:val="28"/>
        </w:rPr>
        <w:t>- Thửa đất tiếp giáp 02 đường (mặt tiền và mặt sau hoặc mặt tiền và 01 mặt thoáng là khoảng chia trong một dãy nhà) hoặc thửa đất có một cạnh (mặt) tiếp giáp với đường và có ít nhất một cạnh (mặt) khác tiếp giáp với đường còn lại thì được tính hệ số bằng 1,1 của đường, đoạn đường có giá đất cao nhất.</w:t>
      </w:r>
    </w:p>
    <w:p>
      <w:pPr>
        <w:spacing w:before="120"/>
        <w:ind w:firstLine="720"/>
        <w:jc w:val="both"/>
        <w:rPr>
          <w:bCs/>
          <w:iCs/>
          <w:sz w:val="28"/>
          <w:szCs w:val="28"/>
        </w:rPr>
      </w:pPr>
      <w:r>
        <w:rPr>
          <w:bCs/>
          <w:iCs/>
          <w:sz w:val="28"/>
          <w:szCs w:val="28"/>
        </w:rPr>
        <w:t>d) Trường hợp thửa đất tại vị trí 2, vị trí 3, vị trí 4 trên các đường, đoạn đường nhưng có chiều sâu lớn được xác định hệ số để giảm giá như sau:</w:t>
      </w:r>
    </w:p>
    <w:p>
      <w:pPr>
        <w:spacing w:before="120"/>
        <w:ind w:firstLine="720"/>
        <w:jc w:val="both"/>
        <w:rPr>
          <w:bCs/>
          <w:iCs/>
          <w:sz w:val="28"/>
          <w:szCs w:val="28"/>
        </w:rPr>
      </w:pPr>
      <w:r>
        <w:rPr>
          <w:bCs/>
          <w:iCs/>
          <w:sz w:val="28"/>
          <w:szCs w:val="28"/>
        </w:rPr>
        <w:t>- Từ đầu đường, đoạn đường đến 50m tính hệ số bằng 1,0 của vị trí đó.</w:t>
      </w:r>
    </w:p>
    <w:p>
      <w:pPr>
        <w:spacing w:before="120"/>
        <w:ind w:firstLine="720"/>
        <w:jc w:val="both"/>
        <w:rPr>
          <w:bCs/>
          <w:iCs/>
          <w:sz w:val="28"/>
          <w:szCs w:val="28"/>
        </w:rPr>
      </w:pPr>
      <w:r>
        <w:rPr>
          <w:bCs/>
          <w:iCs/>
          <w:sz w:val="28"/>
          <w:szCs w:val="28"/>
        </w:rPr>
        <w:t>- Trên 50m đến 100m tính hệ số bằng 0,80 của vị trí đó.</w:t>
      </w:r>
    </w:p>
    <w:p>
      <w:pPr>
        <w:spacing w:before="120"/>
        <w:ind w:firstLine="720"/>
        <w:jc w:val="both"/>
        <w:rPr>
          <w:bCs/>
          <w:iCs/>
          <w:sz w:val="28"/>
          <w:szCs w:val="28"/>
        </w:rPr>
      </w:pPr>
      <w:r>
        <w:rPr>
          <w:bCs/>
          <w:iCs/>
          <w:sz w:val="28"/>
          <w:szCs w:val="28"/>
        </w:rPr>
        <w:t>- Trên 100m đến 150m tính hệ số bằng 0,60 của vị trí đó.</w:t>
      </w:r>
    </w:p>
    <w:p>
      <w:pPr>
        <w:spacing w:before="120"/>
        <w:ind w:firstLine="720"/>
        <w:jc w:val="both"/>
        <w:rPr>
          <w:bCs/>
          <w:iCs/>
          <w:sz w:val="28"/>
          <w:szCs w:val="28"/>
        </w:rPr>
      </w:pPr>
      <w:r>
        <w:rPr>
          <w:bCs/>
          <w:iCs/>
          <w:sz w:val="28"/>
          <w:szCs w:val="28"/>
        </w:rPr>
        <w:t>- Trên 150m tính hệ số bằng 0,40 của vị trí đó.</w:t>
      </w:r>
    </w:p>
    <w:p>
      <w:pPr>
        <w:spacing w:before="120"/>
        <w:ind w:firstLine="720"/>
        <w:jc w:val="both"/>
        <w:rPr>
          <w:bCs/>
          <w:iCs/>
          <w:spacing w:val="-2"/>
          <w:sz w:val="28"/>
          <w:szCs w:val="28"/>
        </w:rPr>
      </w:pPr>
      <w:r>
        <w:rPr>
          <w:bCs/>
          <w:iCs/>
          <w:spacing w:val="-2"/>
          <w:sz w:val="28"/>
          <w:szCs w:val="28"/>
        </w:rPr>
        <w:t>đ) Trường hợp thửa đất là đất thương mại, dịch vụ; đất cơ sở sản xuất phi nông nghiệp; đất sử dụng cho hoạt động khoáng sản (trừ khu công nghiệp, cụm công nghiệp), có chiều sâu lớn được phân lớp để xác định hệ số giảm giá như sau:</w:t>
      </w:r>
    </w:p>
    <w:p>
      <w:pPr>
        <w:spacing w:before="120"/>
        <w:ind w:firstLine="720"/>
        <w:jc w:val="both"/>
        <w:rPr>
          <w:bCs/>
          <w:iCs/>
          <w:sz w:val="28"/>
          <w:szCs w:val="28"/>
        </w:rPr>
      </w:pPr>
      <w:r>
        <w:rPr>
          <w:bCs/>
          <w:iCs/>
          <w:sz w:val="28"/>
          <w:szCs w:val="28"/>
        </w:rPr>
        <w:t>- Lớp 1. Tính từ ranh giới thửa đất vào sâu đến 30m. Hệ số tính là 1,0;</w:t>
      </w:r>
    </w:p>
    <w:p>
      <w:pPr>
        <w:spacing w:before="120"/>
        <w:ind w:firstLine="720"/>
        <w:jc w:val="both"/>
        <w:rPr>
          <w:bCs/>
          <w:iCs/>
          <w:sz w:val="28"/>
          <w:szCs w:val="28"/>
        </w:rPr>
      </w:pPr>
      <w:r>
        <w:rPr>
          <w:bCs/>
          <w:iCs/>
          <w:sz w:val="28"/>
          <w:szCs w:val="28"/>
        </w:rPr>
        <w:t>- Lớp 2. Chiều sâu tiếp theo lớn hơn 30m đến 60m. Hệ số tính là 0,80;</w:t>
      </w:r>
    </w:p>
    <w:p>
      <w:pPr>
        <w:spacing w:before="120"/>
        <w:ind w:firstLine="720"/>
        <w:jc w:val="both"/>
        <w:rPr>
          <w:bCs/>
          <w:iCs/>
          <w:sz w:val="28"/>
          <w:szCs w:val="28"/>
        </w:rPr>
      </w:pPr>
      <w:r>
        <w:rPr>
          <w:bCs/>
          <w:iCs/>
          <w:sz w:val="28"/>
          <w:szCs w:val="28"/>
        </w:rPr>
        <w:t>- Lớp 3. Chiều sâu tiếp theo lớn hơn 60m đến 100m. Hệ số tính là 0,60;</w:t>
      </w:r>
    </w:p>
    <w:p>
      <w:pPr>
        <w:spacing w:before="120"/>
        <w:ind w:firstLine="720"/>
        <w:jc w:val="both"/>
        <w:rPr>
          <w:bCs/>
          <w:iCs/>
          <w:sz w:val="28"/>
          <w:szCs w:val="28"/>
        </w:rPr>
      </w:pPr>
      <w:r>
        <w:rPr>
          <w:bCs/>
          <w:iCs/>
          <w:sz w:val="28"/>
          <w:szCs w:val="28"/>
        </w:rPr>
        <w:t>- Lớp 4. Chiều sâu tiếp theo lớn hơn 100m. Hệ số tính là 0,40.</w:t>
      </w:r>
    </w:p>
    <w:p>
      <w:pPr>
        <w:spacing w:before="120"/>
        <w:ind w:firstLine="720"/>
        <w:jc w:val="both"/>
        <w:rPr>
          <w:bCs/>
          <w:iCs/>
          <w:sz w:val="28"/>
          <w:szCs w:val="28"/>
        </w:rPr>
      </w:pPr>
      <w:r>
        <w:rPr>
          <w:bCs/>
          <w:iCs/>
          <w:sz w:val="28"/>
          <w:szCs w:val="28"/>
        </w:rPr>
        <w:t xml:space="preserve">e) Trường hợp giá đất (của từng vị trí, phân lớp) áp dụng các quy định giảm giá tại điểm d và điểm đ khoản này cho ra mức giá thấp hơn mức giá thấp nhất của xã, phường nơi có thửa đất được quy định trong bảng giá thì tính bằng mức </w:t>
      </w:r>
      <w:r>
        <w:rPr>
          <w:bCs/>
          <w:iCs/>
          <w:sz w:val="28"/>
          <w:szCs w:val="28"/>
        </w:rPr>
        <w:lastRenderedPageBreak/>
        <w:t>giá thấp nhất của xã, phường nơi có thửa đất được quy định trong bảng giá.</w:t>
      </w:r>
    </w:p>
    <w:p>
      <w:pPr>
        <w:spacing w:before="120"/>
        <w:ind w:firstLine="720"/>
        <w:jc w:val="both"/>
        <w:rPr>
          <w:bCs/>
          <w:iCs/>
          <w:spacing w:val="-2"/>
          <w:sz w:val="28"/>
          <w:szCs w:val="28"/>
        </w:rPr>
      </w:pPr>
      <w:r>
        <w:rPr>
          <w:bCs/>
          <w:iCs/>
          <w:spacing w:val="-2"/>
          <w:sz w:val="28"/>
          <w:szCs w:val="28"/>
        </w:rPr>
        <w:t>g) Trường hợp thửa đất có nhiều mặt tiếp giáp với nhiều đường, đoạn đường, việc xác định giá đất sau khi giảm do phân lớp đối với lớp cuối cùng của thửa đất nếu thấp hơn giá đất theo vị trí của đường, đoạn đường tiếp giáp của lớp đó (tiếp giáp xác định mặt cắt phân lớp theo hướng từ ngoài vào trong) thì giá đất của lớp đó được xác định theo giá đất theo vị trí của đường, đoạn đường tiếp giáp.</w:t>
      </w:r>
    </w:p>
    <w:p>
      <w:pPr>
        <w:spacing w:before="120"/>
        <w:ind w:firstLine="720"/>
        <w:jc w:val="both"/>
        <w:rPr>
          <w:bCs/>
          <w:iCs/>
          <w:sz w:val="28"/>
          <w:szCs w:val="28"/>
        </w:rPr>
      </w:pPr>
      <w:r>
        <w:rPr>
          <w:bCs/>
          <w:iCs/>
          <w:sz w:val="28"/>
          <w:szCs w:val="28"/>
        </w:rPr>
        <w:t>h) Đối với một khu đất của dự án được tách thành nhiều thửa đất do nằm trên địa bàn từ 02 xã, phường trở lên hoặc được giao đất, cho thuê đất theo tiến độ thì giá đất của cả khu đất được xác định như cách xác định giá đất của 01 thửa đất theo các quy định trên. Trường hợp khu đất của dự án được tách thành các thửa đất theo quy hoạch thì giá đất của dự án được xác định theo giá đất của từng thửa đất.</w:t>
      </w:r>
    </w:p>
    <w:p>
      <w:pPr>
        <w:spacing w:before="120"/>
        <w:ind w:firstLine="720"/>
        <w:jc w:val="both"/>
        <w:rPr>
          <w:sz w:val="28"/>
          <w:szCs w:val="28"/>
        </w:rPr>
      </w:pPr>
      <w:r>
        <w:rPr>
          <w:sz w:val="28"/>
          <w:szCs w:val="28"/>
        </w:rPr>
        <w:t>i) Trường hợp thửa đất hoặc khu đất có nhiều cách tính giá khác nhau thì áp dụng cách tính có mức giá cao nhất.</w:t>
      </w:r>
    </w:p>
    <w:p>
      <w:pPr>
        <w:spacing w:before="120"/>
        <w:ind w:firstLine="720"/>
        <w:jc w:val="both"/>
        <w:rPr>
          <w:sz w:val="28"/>
          <w:szCs w:val="28"/>
        </w:rPr>
      </w:pPr>
      <w:r>
        <w:rPr>
          <w:sz w:val="28"/>
          <w:szCs w:val="28"/>
        </w:rPr>
        <w:t xml:space="preserve">k) Đối với các khu dân cư thuộc mặt bằng quy hoạch khu dân cư mới tiếp giáp đường trục chính đã có giá trong bảng giá đất nhưng các tuyến đường nội bộ chưa được quy định trong bảng giá đất thì giá đất tại các tuyến đường nội bộ được xác định như sau: </w:t>
      </w:r>
    </w:p>
    <w:p>
      <w:pPr>
        <w:spacing w:before="120"/>
        <w:ind w:firstLine="720"/>
        <w:jc w:val="both"/>
        <w:rPr>
          <w:sz w:val="28"/>
          <w:szCs w:val="28"/>
        </w:rPr>
      </w:pPr>
      <w:r>
        <w:rPr>
          <w:sz w:val="28"/>
          <w:szCs w:val="28"/>
        </w:rPr>
        <w:t xml:space="preserve">- Đường có mặt cắt lớn hơn mặt cắt đường trục chính thì giá đất được tính hệ số bằng 1,2 giá đất đường trục chính; </w:t>
      </w:r>
    </w:p>
    <w:p>
      <w:pPr>
        <w:spacing w:before="120"/>
        <w:ind w:firstLine="720"/>
        <w:jc w:val="both"/>
        <w:rPr>
          <w:sz w:val="28"/>
          <w:szCs w:val="28"/>
        </w:rPr>
      </w:pPr>
      <w:r>
        <w:rPr>
          <w:sz w:val="28"/>
          <w:szCs w:val="28"/>
        </w:rPr>
        <w:t xml:space="preserve">- Đường có mặt cắt bằng mặt cắt đường trục chính thì giá đất được tính bằng giá đất đường trục chính; </w:t>
      </w:r>
    </w:p>
    <w:p>
      <w:pPr>
        <w:spacing w:before="120"/>
        <w:ind w:firstLine="720"/>
        <w:jc w:val="both"/>
        <w:rPr>
          <w:sz w:val="28"/>
          <w:szCs w:val="28"/>
        </w:rPr>
      </w:pPr>
      <w:r>
        <w:rPr>
          <w:sz w:val="28"/>
          <w:szCs w:val="28"/>
        </w:rPr>
        <w:t>- Đường nhánh có mặt cắt nhỏ hơn đường trục chính thì giá đất được tính hệ số bằng 0,8 giá đất đường trục chính.</w:t>
      </w:r>
    </w:p>
    <w:p>
      <w:pPr>
        <w:spacing w:before="120"/>
        <w:ind w:firstLine="720"/>
        <w:jc w:val="both"/>
        <w:rPr>
          <w:b/>
          <w:sz w:val="28"/>
          <w:szCs w:val="28"/>
        </w:rPr>
      </w:pPr>
      <w:r>
        <w:rPr>
          <w:b/>
          <w:sz w:val="28"/>
          <w:szCs w:val="28"/>
          <w:lang w:val="en-US"/>
        </w:rPr>
        <w:t>5</w:t>
      </w:r>
      <w:r>
        <w:rPr>
          <w:b/>
          <w:sz w:val="28"/>
          <w:szCs w:val="28"/>
        </w:rPr>
        <w:t>. Đất chưa sử dụng</w:t>
      </w:r>
    </w:p>
    <w:p>
      <w:pPr>
        <w:spacing w:before="120"/>
        <w:ind w:firstLine="720"/>
        <w:jc w:val="both"/>
        <w:rPr>
          <w:sz w:val="28"/>
          <w:szCs w:val="28"/>
        </w:rPr>
      </w:pPr>
      <w:r>
        <w:rPr>
          <w:sz w:val="28"/>
          <w:szCs w:val="28"/>
        </w:rPr>
        <w:t>Giá đất chưa sử dụng: Đất chưa sử dụng khi cần có giá để tính tiền bồi thường đối với người có hành vi vi phạm pháp luật thì căn cứ vào giá của loại đất liền kề có mức giá đất cao nhất (trường hợp liền kề với hai loại đất khác nhau trở lên) để xác định giá đất. Khi đất chưa sử dụng được cơ quan có thẩm quyền cho phép đưa vào sử dụng thì căn cứ vào giá đất cùng loại, cùng mục đích sử dụng đã được quy định để xác định giá.</w:t>
      </w:r>
    </w:p>
    <w:p>
      <w:pPr>
        <w:pStyle w:val="NormalWeb"/>
        <w:shd w:val="clear" w:color="auto" w:fill="FFFFFF"/>
        <w:spacing w:before="120" w:beforeAutospacing="0" w:after="0" w:afterAutospacing="0"/>
        <w:ind w:firstLine="720"/>
        <w:jc w:val="both"/>
        <w:rPr>
          <w:b/>
          <w:iCs/>
          <w:sz w:val="28"/>
          <w:szCs w:val="28"/>
        </w:rPr>
      </w:pPr>
      <w:r>
        <w:rPr>
          <w:b/>
          <w:iCs/>
          <w:sz w:val="28"/>
          <w:szCs w:val="28"/>
          <w:lang w:val="vi"/>
        </w:rPr>
        <w:t xml:space="preserve">Điều </w:t>
      </w:r>
      <w:r>
        <w:rPr>
          <w:b/>
          <w:iCs/>
          <w:sz w:val="28"/>
          <w:szCs w:val="28"/>
          <w:lang w:val="vi-VN"/>
        </w:rPr>
        <w:t>2</w:t>
      </w:r>
      <w:r>
        <w:rPr>
          <w:b/>
          <w:iCs/>
          <w:sz w:val="28"/>
          <w:szCs w:val="28"/>
          <w:lang w:val="vi"/>
        </w:rPr>
        <w:t xml:space="preserve">. </w:t>
      </w:r>
      <w:r>
        <w:rPr>
          <w:b/>
          <w:iCs/>
          <w:sz w:val="28"/>
          <w:szCs w:val="28"/>
        </w:rPr>
        <w:t>Tổ chức thực hiện</w:t>
      </w:r>
    </w:p>
    <w:bookmarkEnd w:id="3"/>
    <w:p>
      <w:pPr>
        <w:spacing w:before="120"/>
        <w:ind w:firstLine="720"/>
        <w:jc w:val="both"/>
        <w:rPr>
          <w:sz w:val="28"/>
          <w:szCs w:val="28"/>
          <w:lang w:val="en-US"/>
        </w:rPr>
      </w:pPr>
      <w:r>
        <w:rPr>
          <w:sz w:val="28"/>
          <w:szCs w:val="28"/>
        </w:rPr>
        <w:t xml:space="preserve">1. </w:t>
      </w:r>
      <w:r>
        <w:rPr>
          <w:sz w:val="28"/>
          <w:szCs w:val="28"/>
          <w:lang w:val="en-US"/>
        </w:rPr>
        <w:t>Ủy ban nhân dân tỉnh căn cứ Nghị quyết này và các quy định của pháp luật, tổ chức triển khai thực hiện.</w:t>
      </w:r>
    </w:p>
    <w:p>
      <w:pPr>
        <w:pStyle w:val="NormalWeb"/>
        <w:shd w:val="clear" w:color="auto" w:fill="FFFFFF"/>
        <w:spacing w:before="120" w:beforeAutospacing="0" w:after="0" w:afterAutospacing="0"/>
        <w:ind w:firstLine="720"/>
        <w:jc w:val="both"/>
        <w:rPr>
          <w:sz w:val="28"/>
          <w:szCs w:val="28"/>
        </w:rPr>
      </w:pPr>
      <w:r>
        <w:rPr>
          <w:sz w:val="28"/>
          <w:szCs w:val="28"/>
        </w:rPr>
        <w:t>2. Thường trực Hội đồng nhân dân tỉnh, các Ban Hội đồng nhân dân, Tổ đại biểu Hội đồng nhân dân và đại biểu Hội đồng nhân dân tỉnh giám sát việc thực hiện Nghị quyết.</w:t>
      </w:r>
    </w:p>
    <w:p>
      <w:pPr>
        <w:pStyle w:val="NormalWeb"/>
        <w:shd w:val="clear" w:color="auto" w:fill="FFFFFF"/>
        <w:spacing w:before="120" w:beforeAutospacing="0" w:after="0" w:afterAutospacing="0"/>
        <w:ind w:firstLine="720"/>
        <w:jc w:val="both"/>
        <w:rPr>
          <w:b/>
          <w:iCs/>
          <w:sz w:val="28"/>
          <w:szCs w:val="28"/>
          <w:lang w:val="vi"/>
        </w:rPr>
      </w:pPr>
      <w:r>
        <w:rPr>
          <w:b/>
          <w:iCs/>
          <w:sz w:val="28"/>
          <w:szCs w:val="28"/>
          <w:lang w:val="vi"/>
        </w:rPr>
        <w:t xml:space="preserve">Điều </w:t>
      </w:r>
      <w:r>
        <w:rPr>
          <w:b/>
          <w:iCs/>
          <w:sz w:val="28"/>
          <w:szCs w:val="28"/>
          <w:lang w:val="vi-VN"/>
        </w:rPr>
        <w:t>3</w:t>
      </w:r>
      <w:r>
        <w:rPr>
          <w:b/>
          <w:iCs/>
          <w:sz w:val="28"/>
          <w:szCs w:val="28"/>
          <w:lang w:val="vi"/>
        </w:rPr>
        <w:t>. Hiệu lực thi hành</w:t>
      </w:r>
    </w:p>
    <w:p>
      <w:pPr>
        <w:pStyle w:val="NormalWeb"/>
        <w:shd w:val="clear" w:color="auto" w:fill="FFFFFF"/>
        <w:spacing w:before="120" w:beforeAutospacing="0" w:after="0" w:afterAutospacing="0"/>
        <w:ind w:firstLine="720"/>
        <w:jc w:val="both"/>
        <w:rPr>
          <w:iCs/>
          <w:sz w:val="28"/>
          <w:szCs w:val="28"/>
          <w:lang w:val="vi"/>
        </w:rPr>
      </w:pPr>
      <w:r>
        <w:rPr>
          <w:iCs/>
          <w:sz w:val="28"/>
          <w:szCs w:val="28"/>
          <w:lang w:val="vi"/>
        </w:rPr>
        <w:t xml:space="preserve">1. </w:t>
      </w:r>
      <w:r>
        <w:rPr>
          <w:iCs/>
          <w:sz w:val="28"/>
          <w:szCs w:val="28"/>
        </w:rPr>
        <w:t>Nghị q</w:t>
      </w:r>
      <w:r>
        <w:rPr>
          <w:iCs/>
          <w:sz w:val="28"/>
          <w:szCs w:val="28"/>
          <w:lang w:val="vi"/>
        </w:rPr>
        <w:t xml:space="preserve">uyết này có hiệu lực kể từ ngày </w:t>
      </w:r>
      <w:r>
        <w:rPr>
          <w:iCs/>
          <w:sz w:val="28"/>
          <w:szCs w:val="28"/>
        </w:rPr>
        <w:t xml:space="preserve">01 </w:t>
      </w:r>
      <w:r>
        <w:rPr>
          <w:iCs/>
          <w:sz w:val="28"/>
          <w:szCs w:val="28"/>
          <w:lang w:val="vi"/>
        </w:rPr>
        <w:t xml:space="preserve">tháng 01 năm </w:t>
      </w:r>
      <w:r>
        <w:rPr>
          <w:iCs/>
          <w:sz w:val="28"/>
          <w:szCs w:val="28"/>
          <w:lang w:val="vi-VN"/>
        </w:rPr>
        <w:t>2026</w:t>
      </w:r>
      <w:r>
        <w:rPr>
          <w:iCs/>
          <w:sz w:val="28"/>
          <w:szCs w:val="28"/>
          <w:lang w:val="vi"/>
        </w:rPr>
        <w:t>.</w:t>
      </w:r>
    </w:p>
    <w:p>
      <w:pPr>
        <w:pStyle w:val="NormalWeb"/>
        <w:shd w:val="clear" w:color="auto" w:fill="FFFFFF"/>
        <w:spacing w:before="120" w:beforeAutospacing="0" w:after="0" w:afterAutospacing="0"/>
        <w:ind w:firstLine="720"/>
        <w:jc w:val="both"/>
        <w:rPr>
          <w:iCs/>
          <w:sz w:val="28"/>
          <w:szCs w:val="28"/>
        </w:rPr>
      </w:pPr>
      <w:r>
        <w:rPr>
          <w:iCs/>
          <w:sz w:val="28"/>
          <w:szCs w:val="28"/>
          <w:lang w:val="vi"/>
        </w:rPr>
        <w:lastRenderedPageBreak/>
        <w:t xml:space="preserve">2. </w:t>
      </w:r>
      <w:r>
        <w:rPr>
          <w:iCs/>
          <w:sz w:val="28"/>
          <w:szCs w:val="28"/>
        </w:rPr>
        <w:t>Nghị quyết này thay thế các Nghị quyết sau:</w:t>
      </w:r>
    </w:p>
    <w:p>
      <w:pPr>
        <w:pStyle w:val="NormalWeb"/>
        <w:shd w:val="clear" w:color="auto" w:fill="FFFFFF"/>
        <w:spacing w:before="120" w:beforeAutospacing="0" w:after="0" w:afterAutospacing="0"/>
        <w:ind w:firstLine="720"/>
        <w:jc w:val="both"/>
        <w:rPr>
          <w:iCs/>
          <w:spacing w:val="2"/>
          <w:sz w:val="28"/>
          <w:szCs w:val="28"/>
        </w:rPr>
      </w:pPr>
      <w:r>
        <w:rPr>
          <w:iCs/>
          <w:spacing w:val="2"/>
          <w:sz w:val="28"/>
          <w:szCs w:val="28"/>
        </w:rPr>
        <w:t>a) Nghị quyết số 231/2019/NQ-HĐND ngày 12</w:t>
      </w:r>
      <w:r>
        <w:rPr>
          <w:iCs/>
          <w:spacing w:val="2"/>
          <w:sz w:val="28"/>
          <w:szCs w:val="28"/>
          <w:lang w:val="vi-VN"/>
        </w:rPr>
        <w:t xml:space="preserve"> tháng </w:t>
      </w:r>
      <w:r>
        <w:rPr>
          <w:iCs/>
          <w:spacing w:val="2"/>
          <w:sz w:val="28"/>
          <w:szCs w:val="28"/>
        </w:rPr>
        <w:t>12</w:t>
      </w:r>
      <w:r>
        <w:rPr>
          <w:iCs/>
          <w:spacing w:val="2"/>
          <w:sz w:val="28"/>
          <w:szCs w:val="28"/>
          <w:lang w:val="vi-VN"/>
        </w:rPr>
        <w:t xml:space="preserve"> năm </w:t>
      </w:r>
      <w:r>
        <w:rPr>
          <w:iCs/>
          <w:spacing w:val="2"/>
          <w:sz w:val="28"/>
          <w:szCs w:val="28"/>
        </w:rPr>
        <w:t>2019 của HĐND tỉnh về việc thông qua Bảng giá các loại đất thời kỳ 2020</w:t>
      </w:r>
      <w:r>
        <w:rPr>
          <w:iCs/>
          <w:spacing w:val="2"/>
          <w:sz w:val="28"/>
          <w:szCs w:val="28"/>
          <w:lang w:val="vi-VN"/>
        </w:rPr>
        <w:t xml:space="preserve"> </w:t>
      </w:r>
      <w:r>
        <w:rPr>
          <w:iCs/>
          <w:spacing w:val="2"/>
          <w:sz w:val="28"/>
          <w:szCs w:val="28"/>
        </w:rPr>
        <w:t>-</w:t>
      </w:r>
      <w:r>
        <w:rPr>
          <w:iCs/>
          <w:spacing w:val="2"/>
          <w:sz w:val="28"/>
          <w:szCs w:val="28"/>
          <w:lang w:val="vi-VN"/>
        </w:rPr>
        <w:t xml:space="preserve"> </w:t>
      </w:r>
      <w:r>
        <w:rPr>
          <w:iCs/>
          <w:spacing w:val="2"/>
          <w:sz w:val="28"/>
          <w:szCs w:val="28"/>
        </w:rPr>
        <w:t xml:space="preserve">2024 trên địa bàn tỉnh Thanh Hóa. </w:t>
      </w:r>
    </w:p>
    <w:p>
      <w:pPr>
        <w:pStyle w:val="NormalWeb"/>
        <w:shd w:val="clear" w:color="auto" w:fill="FFFFFF"/>
        <w:spacing w:before="120" w:beforeAutospacing="0" w:after="0" w:afterAutospacing="0"/>
        <w:ind w:firstLine="720"/>
        <w:jc w:val="both"/>
        <w:rPr>
          <w:spacing w:val="-2"/>
          <w:sz w:val="28"/>
          <w:szCs w:val="28"/>
        </w:rPr>
      </w:pPr>
      <w:r>
        <w:rPr>
          <w:iCs/>
          <w:sz w:val="28"/>
          <w:szCs w:val="28"/>
        </w:rPr>
        <w:t xml:space="preserve">b) Nghị quyết </w:t>
      </w:r>
      <w:r>
        <w:rPr>
          <w:spacing w:val="-2"/>
          <w:sz w:val="28"/>
          <w:szCs w:val="28"/>
        </w:rPr>
        <w:t>số 319/2022/NQ-HĐND ngày 27</w:t>
      </w:r>
      <w:r>
        <w:rPr>
          <w:spacing w:val="-2"/>
          <w:sz w:val="28"/>
          <w:szCs w:val="28"/>
          <w:lang w:val="vi-VN"/>
        </w:rPr>
        <w:t xml:space="preserve"> tháng </w:t>
      </w:r>
      <w:r>
        <w:rPr>
          <w:spacing w:val="-2"/>
          <w:sz w:val="28"/>
          <w:szCs w:val="28"/>
        </w:rPr>
        <w:t>8</w:t>
      </w:r>
      <w:r>
        <w:rPr>
          <w:spacing w:val="-2"/>
          <w:sz w:val="28"/>
          <w:szCs w:val="28"/>
          <w:lang w:val="vi-VN"/>
        </w:rPr>
        <w:t xml:space="preserve"> năm </w:t>
      </w:r>
      <w:r>
        <w:rPr>
          <w:spacing w:val="-2"/>
          <w:sz w:val="28"/>
          <w:szCs w:val="28"/>
        </w:rPr>
        <w:t>2022 của HĐND tỉnh về việc sửa đổi, bổ sung một số nội dung của Bảng giá các loại đất thời kỳ 2020-2024 trên địa bàn tỉnh Thanh Hóa ban hành kèm theo Nghị quyết số 231/2019/NQ-HĐND ngày 12</w:t>
      </w:r>
      <w:r>
        <w:rPr>
          <w:spacing w:val="-2"/>
          <w:sz w:val="28"/>
          <w:szCs w:val="28"/>
          <w:lang w:val="vi-VN"/>
        </w:rPr>
        <w:t xml:space="preserve"> tháng </w:t>
      </w:r>
      <w:r>
        <w:rPr>
          <w:spacing w:val="-2"/>
          <w:sz w:val="28"/>
          <w:szCs w:val="28"/>
        </w:rPr>
        <w:t>12</w:t>
      </w:r>
      <w:r>
        <w:rPr>
          <w:spacing w:val="-2"/>
          <w:sz w:val="28"/>
          <w:szCs w:val="28"/>
          <w:lang w:val="vi-VN"/>
        </w:rPr>
        <w:t xml:space="preserve"> năm </w:t>
      </w:r>
      <w:r>
        <w:rPr>
          <w:spacing w:val="-2"/>
          <w:sz w:val="28"/>
          <w:szCs w:val="28"/>
        </w:rPr>
        <w:t xml:space="preserve">2019 của HĐND tỉnh. </w:t>
      </w:r>
    </w:p>
    <w:p>
      <w:pPr>
        <w:pStyle w:val="NormalWeb"/>
        <w:shd w:val="clear" w:color="auto" w:fill="FFFFFF"/>
        <w:spacing w:before="120" w:beforeAutospacing="0" w:after="0" w:afterAutospacing="0"/>
        <w:ind w:firstLine="720"/>
        <w:jc w:val="both"/>
        <w:rPr>
          <w:spacing w:val="-2"/>
          <w:sz w:val="28"/>
          <w:szCs w:val="28"/>
        </w:rPr>
      </w:pPr>
      <w:r>
        <w:rPr>
          <w:spacing w:val="-2"/>
          <w:sz w:val="28"/>
          <w:szCs w:val="28"/>
        </w:rPr>
        <w:t>c) Nghị quyết số 44/2024/NQ-HĐND ngày 14</w:t>
      </w:r>
      <w:r>
        <w:rPr>
          <w:spacing w:val="-2"/>
          <w:sz w:val="28"/>
          <w:szCs w:val="28"/>
          <w:lang w:val="vi-VN"/>
        </w:rPr>
        <w:t xml:space="preserve"> tháng </w:t>
      </w:r>
      <w:r>
        <w:rPr>
          <w:spacing w:val="-2"/>
          <w:sz w:val="28"/>
          <w:szCs w:val="28"/>
        </w:rPr>
        <w:t>12</w:t>
      </w:r>
      <w:r>
        <w:rPr>
          <w:spacing w:val="-2"/>
          <w:sz w:val="28"/>
          <w:szCs w:val="28"/>
          <w:lang w:val="vi-VN"/>
        </w:rPr>
        <w:t xml:space="preserve"> năm </w:t>
      </w:r>
      <w:r>
        <w:rPr>
          <w:spacing w:val="-2"/>
          <w:sz w:val="28"/>
          <w:szCs w:val="28"/>
        </w:rPr>
        <w:t>2024 của HĐND tỉnh về việc điều chỉnh bảng giá các loại đất thời kỳ 2020</w:t>
      </w:r>
      <w:r>
        <w:rPr>
          <w:spacing w:val="-2"/>
          <w:sz w:val="28"/>
          <w:szCs w:val="28"/>
          <w:lang w:val="vi-VN"/>
        </w:rPr>
        <w:t xml:space="preserve"> </w:t>
      </w:r>
      <w:r>
        <w:rPr>
          <w:spacing w:val="-2"/>
          <w:sz w:val="28"/>
          <w:szCs w:val="28"/>
        </w:rPr>
        <w:t>-</w:t>
      </w:r>
      <w:r>
        <w:rPr>
          <w:spacing w:val="-2"/>
          <w:sz w:val="28"/>
          <w:szCs w:val="28"/>
          <w:lang w:val="vi-VN"/>
        </w:rPr>
        <w:t xml:space="preserve"> </w:t>
      </w:r>
      <w:r>
        <w:rPr>
          <w:spacing w:val="-2"/>
          <w:sz w:val="28"/>
          <w:szCs w:val="28"/>
        </w:rPr>
        <w:t>2024 trên địa bàn tỉnh Thanh Hóa ban hành kèm theo Nghị quyết số 231/2019/NQ-HĐND ngày 12</w:t>
      </w:r>
      <w:r>
        <w:rPr>
          <w:spacing w:val="-2"/>
          <w:sz w:val="28"/>
          <w:szCs w:val="28"/>
          <w:lang w:val="vi-VN"/>
        </w:rPr>
        <w:t xml:space="preserve"> tháng </w:t>
      </w:r>
      <w:r>
        <w:rPr>
          <w:spacing w:val="-2"/>
          <w:sz w:val="28"/>
          <w:szCs w:val="28"/>
        </w:rPr>
        <w:t>12</w:t>
      </w:r>
      <w:r>
        <w:rPr>
          <w:spacing w:val="-2"/>
          <w:sz w:val="28"/>
          <w:szCs w:val="28"/>
          <w:lang w:val="vi-VN"/>
        </w:rPr>
        <w:t xml:space="preserve"> năm </w:t>
      </w:r>
      <w:r>
        <w:rPr>
          <w:spacing w:val="-2"/>
          <w:sz w:val="28"/>
          <w:szCs w:val="28"/>
        </w:rPr>
        <w:t>2019; Nghị quyết số 319/2022/NQ-HĐND ngày 27</w:t>
      </w:r>
      <w:r>
        <w:rPr>
          <w:spacing w:val="-2"/>
          <w:sz w:val="28"/>
          <w:szCs w:val="28"/>
          <w:lang w:val="vi-VN"/>
        </w:rPr>
        <w:t xml:space="preserve"> tháng 8 năm </w:t>
      </w:r>
      <w:r>
        <w:rPr>
          <w:spacing w:val="-2"/>
          <w:sz w:val="28"/>
          <w:szCs w:val="28"/>
        </w:rPr>
        <w:t xml:space="preserve">2022 của HĐND tỉnh. </w:t>
      </w:r>
    </w:p>
    <w:p>
      <w:pPr>
        <w:pStyle w:val="NormalWeb"/>
        <w:shd w:val="clear" w:color="auto" w:fill="FFFFFF"/>
        <w:spacing w:before="120" w:beforeAutospacing="0" w:after="0" w:afterAutospacing="0"/>
        <w:ind w:firstLine="720"/>
        <w:jc w:val="both"/>
        <w:rPr>
          <w:spacing w:val="-2"/>
          <w:sz w:val="28"/>
          <w:szCs w:val="28"/>
        </w:rPr>
      </w:pPr>
      <w:r>
        <w:rPr>
          <w:spacing w:val="-2"/>
          <w:sz w:val="28"/>
          <w:szCs w:val="28"/>
        </w:rPr>
        <w:t>d) Nghị quyết số 01/2025/NQ-HĐND ngày 26</w:t>
      </w:r>
      <w:r>
        <w:rPr>
          <w:spacing w:val="-2"/>
          <w:sz w:val="28"/>
          <w:szCs w:val="28"/>
          <w:lang w:val="vi-VN"/>
        </w:rPr>
        <w:t xml:space="preserve"> tháng </w:t>
      </w:r>
      <w:r>
        <w:rPr>
          <w:spacing w:val="-2"/>
          <w:sz w:val="28"/>
          <w:szCs w:val="28"/>
        </w:rPr>
        <w:t>02</w:t>
      </w:r>
      <w:r>
        <w:rPr>
          <w:spacing w:val="-2"/>
          <w:sz w:val="28"/>
          <w:szCs w:val="28"/>
          <w:lang w:val="vi-VN"/>
        </w:rPr>
        <w:t xml:space="preserve"> năm </w:t>
      </w:r>
      <w:r>
        <w:rPr>
          <w:spacing w:val="-2"/>
          <w:sz w:val="28"/>
          <w:szCs w:val="28"/>
        </w:rPr>
        <w:t>2025 của HĐND tỉnh về việc sửa đổi, bổ sung một số điều của Nghị quyết số 231/2019/NQ-HĐND ngày 12</w:t>
      </w:r>
      <w:r>
        <w:rPr>
          <w:spacing w:val="-2"/>
          <w:sz w:val="28"/>
          <w:szCs w:val="28"/>
          <w:lang w:val="vi-VN"/>
        </w:rPr>
        <w:t xml:space="preserve"> tháng </w:t>
      </w:r>
      <w:r>
        <w:rPr>
          <w:spacing w:val="-2"/>
          <w:sz w:val="28"/>
          <w:szCs w:val="28"/>
        </w:rPr>
        <w:t>12</w:t>
      </w:r>
      <w:r>
        <w:rPr>
          <w:spacing w:val="-2"/>
          <w:sz w:val="28"/>
          <w:szCs w:val="28"/>
          <w:lang w:val="vi-VN"/>
        </w:rPr>
        <w:t xml:space="preserve"> năm </w:t>
      </w:r>
      <w:r>
        <w:rPr>
          <w:spacing w:val="-2"/>
          <w:sz w:val="28"/>
          <w:szCs w:val="28"/>
        </w:rPr>
        <w:t>2019 của HĐND tỉnh đã được sửa đổi, bổ sung tại Nghị quyết số 319/2022/NQ-HĐND ngày 27</w:t>
      </w:r>
      <w:r>
        <w:rPr>
          <w:spacing w:val="-2"/>
          <w:sz w:val="28"/>
          <w:szCs w:val="28"/>
          <w:lang w:val="vi-VN"/>
        </w:rPr>
        <w:t xml:space="preserve"> tháng </w:t>
      </w:r>
      <w:r>
        <w:rPr>
          <w:spacing w:val="-2"/>
          <w:sz w:val="28"/>
          <w:szCs w:val="28"/>
        </w:rPr>
        <w:t>8</w:t>
      </w:r>
      <w:r>
        <w:rPr>
          <w:spacing w:val="-2"/>
          <w:sz w:val="28"/>
          <w:szCs w:val="28"/>
          <w:lang w:val="vi-VN"/>
        </w:rPr>
        <w:t xml:space="preserve"> năm </w:t>
      </w:r>
      <w:r>
        <w:rPr>
          <w:spacing w:val="-2"/>
          <w:sz w:val="28"/>
          <w:szCs w:val="28"/>
        </w:rPr>
        <w:t>2022 của HĐND tỉnh.</w:t>
      </w:r>
    </w:p>
    <w:p>
      <w:pPr>
        <w:pStyle w:val="NormalWeb"/>
        <w:shd w:val="clear" w:color="auto" w:fill="FFFFFF"/>
        <w:spacing w:before="120" w:beforeAutospacing="0" w:after="0" w:afterAutospacing="0"/>
        <w:ind w:firstLine="720"/>
        <w:jc w:val="both"/>
        <w:rPr>
          <w:i/>
          <w:iCs/>
          <w:sz w:val="28"/>
          <w:szCs w:val="28"/>
          <w:lang w:val="vi-VN"/>
        </w:rPr>
      </w:pPr>
      <w:r>
        <w:rPr>
          <w:i/>
          <w:iCs/>
          <w:sz w:val="28"/>
          <w:szCs w:val="28"/>
          <w:lang w:val="vi-VN"/>
        </w:rPr>
        <w:t>Nghị quyết này đã được Hội đồng nhân dân tỉnh Thanh Hóa khóa</w:t>
      </w:r>
      <w:r>
        <w:rPr>
          <w:i/>
          <w:iCs/>
          <w:sz w:val="28"/>
          <w:szCs w:val="28"/>
        </w:rPr>
        <w:t xml:space="preserve"> …</w:t>
      </w:r>
      <w:r>
        <w:rPr>
          <w:i/>
          <w:iCs/>
          <w:sz w:val="28"/>
          <w:szCs w:val="28"/>
          <w:lang w:val="vi-VN"/>
        </w:rPr>
        <w:t xml:space="preserve">  , Kỳ họp thứ</w:t>
      </w:r>
      <w:r>
        <w:rPr>
          <w:i/>
          <w:iCs/>
          <w:sz w:val="28"/>
          <w:szCs w:val="28"/>
        </w:rPr>
        <w:t xml:space="preserve"> …</w:t>
      </w:r>
      <w:r>
        <w:rPr>
          <w:i/>
          <w:iCs/>
          <w:sz w:val="28"/>
          <w:szCs w:val="28"/>
          <w:lang w:val="vi-VN"/>
        </w:rPr>
        <w:t xml:space="preserve">  thông qua ngày     tháng     năm./.</w:t>
      </w:r>
    </w:p>
    <w:p>
      <w:pPr>
        <w:pStyle w:val="NormalWeb"/>
        <w:shd w:val="clear" w:color="auto" w:fill="FFFFFF"/>
        <w:spacing w:before="120" w:beforeAutospacing="0" w:after="0" w:afterAutospacing="0"/>
        <w:ind w:firstLine="720"/>
        <w:jc w:val="both"/>
        <w:rPr>
          <w:i/>
          <w:iCs/>
          <w:sz w:val="28"/>
          <w:szCs w:val="28"/>
          <w:lang w:val="vi-VN"/>
        </w:rPr>
      </w:pPr>
    </w:p>
    <w:tbl>
      <w:tblPr>
        <w:tblpPr w:leftFromText="180" w:rightFromText="180" w:vertAnchor="text" w:horzAnchor="margin" w:tblpY="15"/>
        <w:tblW w:w="9250" w:type="dxa"/>
        <w:tblLayout w:type="fixed"/>
        <w:tblCellMar>
          <w:left w:w="0" w:type="dxa"/>
          <w:right w:w="0" w:type="dxa"/>
        </w:tblCellMar>
        <w:tblLook w:val="01E0" w:firstRow="1" w:lastRow="1" w:firstColumn="1" w:lastColumn="1" w:noHBand="0" w:noVBand="0"/>
      </w:tblPr>
      <w:tblGrid>
        <w:gridCol w:w="4536"/>
        <w:gridCol w:w="4714"/>
      </w:tblGrid>
      <w:tr>
        <w:trPr>
          <w:trHeight w:val="1276"/>
        </w:trPr>
        <w:tc>
          <w:tcPr>
            <w:tcW w:w="4536" w:type="dxa"/>
          </w:tcPr>
          <w:p>
            <w:pPr>
              <w:pStyle w:val="TableParagraph"/>
              <w:spacing w:before="120" w:line="220" w:lineRule="exact"/>
              <w:ind w:left="28"/>
              <w:rPr>
                <w:b/>
                <w:i/>
                <w:sz w:val="24"/>
              </w:rPr>
            </w:pPr>
            <w:r>
              <w:rPr>
                <w:b/>
                <w:i/>
                <w:sz w:val="24"/>
              </w:rPr>
              <w:t>Nơi</w:t>
            </w:r>
            <w:r>
              <w:rPr>
                <w:b/>
                <w:i/>
                <w:spacing w:val="-2"/>
                <w:sz w:val="24"/>
              </w:rPr>
              <w:t xml:space="preserve"> </w:t>
            </w:r>
            <w:r>
              <w:rPr>
                <w:b/>
                <w:i/>
                <w:sz w:val="24"/>
              </w:rPr>
              <w:t>nhận:</w:t>
            </w:r>
          </w:p>
          <w:p>
            <w:pPr>
              <w:pStyle w:val="TableParagraph"/>
              <w:tabs>
                <w:tab w:val="left" w:pos="328"/>
              </w:tabs>
              <w:rPr>
                <w:shd w:val="clear" w:color="auto" w:fill="FFFFFF"/>
                <w:lang w:val="vi-VN"/>
              </w:rPr>
            </w:pPr>
            <w:r>
              <w:rPr>
                <w:shd w:val="clear" w:color="auto" w:fill="FFFFFF"/>
              </w:rPr>
              <w:t xml:space="preserve">- </w:t>
            </w:r>
            <w:r>
              <w:rPr>
                <w:shd w:val="clear" w:color="auto" w:fill="FFFFFF"/>
                <w:lang w:val="vi-VN"/>
              </w:rPr>
              <w:t>Ủy ban Thường vụ Quốc hội;</w:t>
            </w:r>
          </w:p>
          <w:p>
            <w:pPr>
              <w:pStyle w:val="TableParagraph"/>
              <w:tabs>
                <w:tab w:val="left" w:pos="328"/>
              </w:tabs>
              <w:rPr>
                <w:shd w:val="clear" w:color="auto" w:fill="FFFFFF"/>
                <w:lang w:val="vi-VN"/>
              </w:rPr>
            </w:pPr>
            <w:r>
              <w:rPr>
                <w:shd w:val="clear" w:color="auto" w:fill="FFFFFF"/>
                <w:lang w:val="vi-VN"/>
              </w:rPr>
              <w:t>- Chính phủ;</w:t>
            </w:r>
          </w:p>
          <w:p>
            <w:pPr>
              <w:pStyle w:val="TableParagraph"/>
              <w:tabs>
                <w:tab w:val="left" w:pos="328"/>
              </w:tabs>
              <w:rPr>
                <w:shd w:val="clear" w:color="auto" w:fill="FFFFFF"/>
              </w:rPr>
            </w:pPr>
            <w:r>
              <w:rPr>
                <w:shd w:val="clear" w:color="auto" w:fill="FFFFFF"/>
                <w:lang w:val="vi-VN"/>
              </w:rPr>
              <w:t xml:space="preserve">- </w:t>
            </w:r>
            <w:r>
              <w:rPr>
                <w:shd w:val="clear" w:color="auto" w:fill="FFFFFF"/>
              </w:rPr>
              <w:t xml:space="preserve">Văn </w:t>
            </w:r>
            <w:r>
              <w:rPr>
                <w:shd w:val="clear" w:color="auto" w:fill="FFFFFF"/>
                <w:lang w:val="vi-VN"/>
              </w:rPr>
              <w:t>phòng: Quốc hội,</w:t>
            </w:r>
            <w:r>
              <w:rPr>
                <w:shd w:val="clear" w:color="auto" w:fill="FFFFFF"/>
              </w:rPr>
              <w:t xml:space="preserve"> Chính phủ;</w:t>
            </w:r>
            <w:r>
              <w:br/>
            </w:r>
            <w:r>
              <w:rPr>
                <w:shd w:val="clear" w:color="auto" w:fill="FFFFFF"/>
              </w:rPr>
              <w:t>- Các Bộ: NN&amp;MT, TC, XD, TP;</w:t>
            </w:r>
          </w:p>
          <w:p>
            <w:pPr>
              <w:pStyle w:val="TableParagraph"/>
              <w:tabs>
                <w:tab w:val="left" w:pos="328"/>
              </w:tabs>
              <w:rPr>
                <w:shd w:val="clear" w:color="auto" w:fill="FFFFFF"/>
              </w:rPr>
            </w:pPr>
            <w:r>
              <w:rPr>
                <w:shd w:val="clear" w:color="auto" w:fill="FFFFFF"/>
              </w:rPr>
              <w:t xml:space="preserve">- Vụ Pháp chế </w:t>
            </w:r>
            <w:r>
              <w:rPr>
                <w:shd w:val="clear" w:color="auto" w:fill="FFFFFF"/>
                <w:lang w:val="vi-VN"/>
              </w:rPr>
              <w:t>-</w:t>
            </w:r>
            <w:r>
              <w:rPr>
                <w:shd w:val="clear" w:color="auto" w:fill="FFFFFF"/>
              </w:rPr>
              <w:t xml:space="preserve"> Bộ NNMT;</w:t>
            </w:r>
            <w:r>
              <w:br/>
            </w:r>
            <w:r>
              <w:rPr>
                <w:shd w:val="clear" w:color="auto" w:fill="FFFFFF"/>
              </w:rPr>
              <w:t>-</w:t>
            </w:r>
            <w:r>
              <w:rPr>
                <w:shd w:val="clear" w:color="auto" w:fill="FFFFFF"/>
                <w:lang w:val="vi-VN"/>
              </w:rPr>
              <w:t xml:space="preserve"> Ban Thường vụ T</w:t>
            </w:r>
            <w:r>
              <w:rPr>
                <w:shd w:val="clear" w:color="auto" w:fill="FFFFFF"/>
                <w:lang w:val="en-US"/>
              </w:rPr>
              <w:t>ỉnh</w:t>
            </w:r>
            <w:r>
              <w:rPr>
                <w:shd w:val="clear" w:color="auto" w:fill="FFFFFF"/>
                <w:lang w:val="vi-VN"/>
              </w:rPr>
              <w:t xml:space="preserve"> ủy</w:t>
            </w:r>
            <w:r>
              <w:rPr>
                <w:shd w:val="clear" w:color="auto" w:fill="FFFFFF"/>
              </w:rPr>
              <w:t>;</w:t>
            </w:r>
            <w:r>
              <w:br/>
            </w:r>
            <w:r>
              <w:rPr>
                <w:shd w:val="clear" w:color="auto" w:fill="FFFFFF"/>
              </w:rPr>
              <w:t>- Cục Kiểm tra văn bản và Quản lý xử lý vi phạm hành chính - Bộ Tư pháp;</w:t>
            </w:r>
          </w:p>
          <w:p>
            <w:pPr>
              <w:pStyle w:val="TableParagraph"/>
              <w:tabs>
                <w:tab w:val="left" w:pos="328"/>
              </w:tabs>
              <w:rPr>
                <w:shd w:val="clear" w:color="auto" w:fill="FFFFFF"/>
                <w:lang w:val="vi-VN"/>
              </w:rPr>
            </w:pPr>
            <w:r>
              <w:rPr>
                <w:shd w:val="clear" w:color="auto" w:fill="FFFFFF"/>
                <w:lang w:val="vi-VN"/>
              </w:rPr>
              <w:t xml:space="preserve">- </w:t>
            </w:r>
            <w:r>
              <w:rPr>
                <w:shd w:val="clear" w:color="auto" w:fill="FFFFFF"/>
                <w:lang w:val="en-US"/>
              </w:rPr>
              <w:t>Đoàn đại biểu Quốc hội tỉnh Thanh Hóa;</w:t>
            </w:r>
          </w:p>
          <w:p>
            <w:pPr>
              <w:pStyle w:val="TableParagraph"/>
              <w:tabs>
                <w:tab w:val="left" w:pos="328"/>
              </w:tabs>
              <w:rPr>
                <w:shd w:val="clear" w:color="auto" w:fill="FFFFFF"/>
                <w:lang w:val="en-US"/>
              </w:rPr>
            </w:pPr>
            <w:r>
              <w:rPr>
                <w:shd w:val="clear" w:color="auto" w:fill="FFFFFF"/>
                <w:lang w:val="en-US"/>
              </w:rPr>
              <w:t xml:space="preserve">- </w:t>
            </w:r>
            <w:r>
              <w:rPr>
                <w:shd w:val="clear" w:color="auto" w:fill="FFFFFF"/>
                <w:lang w:val="vi-VN"/>
              </w:rPr>
              <w:t>UBND, UB</w:t>
            </w:r>
            <w:r>
              <w:rPr>
                <w:shd w:val="clear" w:color="auto" w:fill="FFFFFF"/>
                <w:lang w:val="en-US"/>
              </w:rPr>
              <w:t>MTTQ Việt Nam tỉnh;</w:t>
            </w:r>
          </w:p>
          <w:p>
            <w:pPr>
              <w:pStyle w:val="TableParagraph"/>
              <w:tabs>
                <w:tab w:val="left" w:pos="328"/>
              </w:tabs>
              <w:rPr>
                <w:shd w:val="clear" w:color="auto" w:fill="FFFFFF"/>
              </w:rPr>
            </w:pPr>
            <w:r>
              <w:rPr>
                <w:lang w:val="vi-VN"/>
              </w:rPr>
              <w:t>- Đại biểu HĐND t</w:t>
            </w:r>
            <w:r>
              <w:rPr>
                <w:lang w:val="en-US"/>
              </w:rPr>
              <w:t>ỉnh</w:t>
            </w:r>
            <w:r>
              <w:rPr>
                <w:lang w:val="vi-VN"/>
              </w:rPr>
              <w:t>;</w:t>
            </w:r>
            <w:r>
              <w:br/>
            </w:r>
            <w:r>
              <w:rPr>
                <w:shd w:val="clear" w:color="auto" w:fill="FFFFFF"/>
              </w:rPr>
              <w:t xml:space="preserve">- Chủ tịch và các Phó Chủ tịch UBND </w:t>
            </w:r>
            <w:r>
              <w:rPr>
                <w:shd w:val="clear" w:color="auto" w:fill="FFFFFF"/>
                <w:lang w:val="en-US"/>
              </w:rPr>
              <w:t>tỉnh</w:t>
            </w:r>
            <w:r>
              <w:rPr>
                <w:shd w:val="clear" w:color="auto" w:fill="FFFFFF"/>
              </w:rPr>
              <w:t>;</w:t>
            </w:r>
            <w:r>
              <w:br/>
            </w:r>
            <w:r>
              <w:rPr>
                <w:shd w:val="clear" w:color="auto" w:fill="FFFFFF"/>
              </w:rPr>
              <w:t xml:space="preserve">- Thuế </w:t>
            </w:r>
            <w:r>
              <w:rPr>
                <w:shd w:val="clear" w:color="auto" w:fill="FFFFFF"/>
                <w:lang w:val="vi-VN"/>
              </w:rPr>
              <w:t>tỉnh Thanh Hóa</w:t>
            </w:r>
            <w:r>
              <w:rPr>
                <w:shd w:val="clear" w:color="auto" w:fill="FFFFFF"/>
              </w:rPr>
              <w:t>;</w:t>
            </w:r>
          </w:p>
          <w:p>
            <w:pPr>
              <w:pStyle w:val="TableParagraph"/>
              <w:tabs>
                <w:tab w:val="left" w:pos="328"/>
              </w:tabs>
              <w:rPr>
                <w:shd w:val="clear" w:color="auto" w:fill="FFFFFF"/>
              </w:rPr>
            </w:pPr>
            <w:r>
              <w:rPr>
                <w:shd w:val="clear" w:color="auto" w:fill="FFFFFF"/>
              </w:rPr>
              <w:t xml:space="preserve">- Thống kê </w:t>
            </w:r>
            <w:r>
              <w:rPr>
                <w:shd w:val="clear" w:color="auto" w:fill="FFFFFF"/>
                <w:lang w:val="vi-VN"/>
              </w:rPr>
              <w:t>tỉnh Thanh Hóa;</w:t>
            </w:r>
            <w:r>
              <w:br/>
            </w:r>
            <w:r>
              <w:rPr>
                <w:shd w:val="clear" w:color="auto" w:fill="FFFFFF"/>
              </w:rPr>
              <w:t>- Các Sở, Ban, Ngành, hội, đoàn thể;</w:t>
            </w:r>
            <w:r>
              <w:br/>
            </w:r>
            <w:r>
              <w:rPr>
                <w:shd w:val="clear" w:color="auto" w:fill="FFFFFF"/>
              </w:rPr>
              <w:t xml:space="preserve">- </w:t>
            </w:r>
            <w:r>
              <w:rPr>
                <w:shd w:val="clear" w:color="auto" w:fill="FFFFFF"/>
                <w:lang w:val="vi-VN"/>
              </w:rPr>
              <w:t xml:space="preserve">HĐND, </w:t>
            </w:r>
            <w:r>
              <w:rPr>
                <w:shd w:val="clear" w:color="auto" w:fill="FFFFFF"/>
              </w:rPr>
              <w:t xml:space="preserve">UBND các xã, </w:t>
            </w:r>
            <w:r>
              <w:rPr>
                <w:shd w:val="clear" w:color="auto" w:fill="FFFFFF"/>
                <w:lang w:val="vi-VN"/>
              </w:rPr>
              <w:t>phường</w:t>
            </w:r>
            <w:r>
              <w:rPr>
                <w:shd w:val="clear" w:color="auto" w:fill="FFFFFF"/>
              </w:rPr>
              <w:t>;</w:t>
            </w:r>
          </w:p>
          <w:p>
            <w:pPr>
              <w:pStyle w:val="TableParagraph"/>
              <w:tabs>
                <w:tab w:val="left" w:pos="328"/>
              </w:tabs>
              <w:spacing w:line="220" w:lineRule="exact"/>
            </w:pPr>
            <w:r>
              <w:rPr>
                <w:shd w:val="clear" w:color="auto" w:fill="FFFFFF"/>
              </w:rPr>
              <w:t>- Công báo t</w:t>
            </w:r>
            <w:r>
              <w:rPr>
                <w:shd w:val="clear" w:color="auto" w:fill="FFFFFF"/>
                <w:lang w:val="en-US"/>
              </w:rPr>
              <w:t>ỉnh</w:t>
            </w:r>
            <w:r>
              <w:rPr>
                <w:shd w:val="clear" w:color="auto" w:fill="FFFFFF"/>
              </w:rPr>
              <w:t>;</w:t>
            </w:r>
            <w:r>
              <w:br/>
            </w:r>
            <w:r>
              <w:rPr>
                <w:shd w:val="clear" w:color="auto" w:fill="FFFFFF"/>
              </w:rPr>
              <w:t>- Cổng Thông tin điện tử t</w:t>
            </w:r>
            <w:r>
              <w:rPr>
                <w:shd w:val="clear" w:color="auto" w:fill="FFFFFF"/>
                <w:lang w:val="en-US"/>
              </w:rPr>
              <w:t>ỉnh</w:t>
            </w:r>
            <w:r>
              <w:rPr>
                <w:shd w:val="clear" w:color="auto" w:fill="FFFFFF"/>
              </w:rPr>
              <w:t>;</w:t>
            </w:r>
            <w:r>
              <w:br/>
            </w:r>
            <w:r>
              <w:rPr>
                <w:shd w:val="clear" w:color="auto" w:fill="FFFFFF"/>
              </w:rPr>
              <w:t xml:space="preserve">- Lưu: VT, </w:t>
            </w:r>
            <w:r>
              <w:rPr>
                <w:shd w:val="clear" w:color="auto" w:fill="FFFFFF"/>
                <w:lang w:val="en-US"/>
              </w:rPr>
              <w:t>VP HĐND tỉnh</w:t>
            </w:r>
            <w:r>
              <w:rPr>
                <w:shd w:val="clear" w:color="auto" w:fill="FFFFFF"/>
              </w:rPr>
              <w:t>.</w:t>
            </w:r>
          </w:p>
        </w:tc>
        <w:tc>
          <w:tcPr>
            <w:tcW w:w="4714" w:type="dxa"/>
          </w:tcPr>
          <w:p>
            <w:pPr>
              <w:pStyle w:val="TableParagraph"/>
              <w:spacing w:line="242" w:lineRule="auto"/>
              <w:ind w:right="35"/>
              <w:jc w:val="center"/>
              <w:rPr>
                <w:b/>
                <w:sz w:val="28"/>
              </w:rPr>
            </w:pPr>
            <w:r>
              <w:rPr>
                <w:b/>
                <w:sz w:val="28"/>
              </w:rPr>
              <w:t>CHỦ TỊCH</w:t>
            </w:r>
          </w:p>
        </w:tc>
      </w:tr>
    </w:tbl>
    <w:p>
      <w:pPr>
        <w:spacing w:before="120" w:line="340" w:lineRule="exact"/>
        <w:jc w:val="both"/>
      </w:pPr>
    </w:p>
    <w:p>
      <w:pPr>
        <w:outlineLvl w:val="4"/>
        <w:rPr>
          <w:b/>
          <w:bCs/>
          <w:sz w:val="28"/>
          <w:szCs w:val="28"/>
          <w:lang w:val="en-US"/>
        </w:rPr>
      </w:pPr>
    </w:p>
    <w:sectPr>
      <w:headerReference w:type="default" r:id="rId7"/>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47276"/>
      <w:docPartObj>
        <w:docPartGallery w:val="Page Numbers (Top of Page)"/>
        <w:docPartUnique/>
      </w:docPartObj>
    </w:sdtPr>
    <w:sdtEndPr>
      <w:rPr>
        <w:noProof/>
        <w:sz w:val="28"/>
        <w:szCs w:val="28"/>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6</w:t>
        </w:r>
        <w:r>
          <w:rPr>
            <w:noProof/>
            <w:sz w:val="28"/>
            <w:szCs w:val="28"/>
          </w:rPr>
          <w:fldChar w:fldCharType="end"/>
        </w:r>
      </w:p>
    </w:sdtContent>
  </w:sdt>
  <w:p>
    <w:pPr>
      <w:pStyle w:val="BodyText"/>
      <w:spacing w:before="0" w:line="14" w:lineRule="auto"/>
      <w:ind w:left="0" w:firstLine="0"/>
      <w:jc w:val="left"/>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67212201"/>
    <w:multiLevelType w:val="multilevel"/>
    <w:tmpl w:val="7BE6C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3D743-E9C8-4231-98E0-5434D0DC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imes New Roman" w:cs="Times New Roman"/>
      <w:b/>
      <w:bCs/>
      <w:szCs w:val="28"/>
      <w:lang w:val="vi"/>
    </w:rPr>
  </w:style>
  <w:style w:type="paragraph" w:styleId="BodyText">
    <w:name w:val="Body Text"/>
    <w:basedOn w:val="Normal"/>
    <w:link w:val="BodyTextChar"/>
    <w:uiPriority w:val="1"/>
    <w:qFormat/>
    <w:pPr>
      <w:spacing w:before="138"/>
      <w:ind w:left="194" w:firstLine="719"/>
      <w:jc w:val="both"/>
    </w:pPr>
    <w:rPr>
      <w:i/>
      <w:iCs/>
      <w:sz w:val="28"/>
      <w:szCs w:val="28"/>
    </w:rPr>
  </w:style>
  <w:style w:type="character" w:customStyle="1" w:styleId="BodyTextChar">
    <w:name w:val="Body Text Char"/>
    <w:basedOn w:val="DefaultParagraphFont"/>
    <w:link w:val="BodyText"/>
    <w:uiPriority w:val="1"/>
    <w:rPr>
      <w:rFonts w:eastAsia="Times New Roman" w:cs="Times New Roman"/>
      <w:i/>
      <w:iCs/>
      <w:szCs w:val="28"/>
      <w:lang w:val="v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2"/>
      <w:lang w:val="v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character" w:styleId="Hyperlink">
    <w:name w:val="Hyperlink"/>
    <w:basedOn w:val="DefaultParagraphFont"/>
    <w:uiPriority w:val="99"/>
    <w:unhideWhenUsed/>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eastAsia="Times New Roman" w:cs="Times New Roman"/>
      <w:sz w:val="22"/>
      <w:lang w:val="vi"/>
    </w:rPr>
  </w:style>
  <w:style w:type="paragraph" w:styleId="FootnoteText">
    <w:name w:val="footnote text"/>
    <w:basedOn w:val="Normal"/>
    <w:link w:val="FootnoteTextChar"/>
    <w:uiPriority w:val="99"/>
    <w:semiHidden/>
    <w:unhideWhenUsed/>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basedOn w:val="Normal"/>
    <w:autoRedefine/>
    <w:pPr>
      <w:widowControl/>
      <w:autoSpaceDE/>
      <w:autoSpaceDN/>
      <w:spacing w:after="160" w:line="240" w:lineRule="exact"/>
    </w:pPr>
    <w:rPr>
      <w:rFonts w:ascii="Verdana" w:hAnsi="Verdana" w:cs="Verdana"/>
      <w:sz w:val="20"/>
      <w:szCs w:val="20"/>
      <w:lang w:val="en-US"/>
    </w:rPr>
  </w:style>
  <w:style w:type="character" w:customStyle="1" w:styleId="NormalWebChar">
    <w:name w:val="Normal (Web) Char"/>
    <w:link w:val="NormalWeb"/>
    <w:uiPriority w:val="99"/>
    <w:qFormat/>
    <w:locked/>
    <w:rPr>
      <w:rFonts w:eastAsia="Times New Roman" w:cs="Times New Roman"/>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837981">
      <w:bodyDiv w:val="1"/>
      <w:marLeft w:val="0"/>
      <w:marRight w:val="0"/>
      <w:marTop w:val="0"/>
      <w:marBottom w:val="0"/>
      <w:divBdr>
        <w:top w:val="none" w:sz="0" w:space="0" w:color="auto"/>
        <w:left w:val="none" w:sz="0" w:space="0" w:color="auto"/>
        <w:bottom w:val="none" w:sz="0" w:space="0" w:color="auto"/>
        <w:right w:val="none" w:sz="0" w:space="0" w:color="auto"/>
      </w:divBdr>
    </w:div>
    <w:div w:id="1031422346">
      <w:bodyDiv w:val="1"/>
      <w:marLeft w:val="0"/>
      <w:marRight w:val="0"/>
      <w:marTop w:val="0"/>
      <w:marBottom w:val="0"/>
      <w:divBdr>
        <w:top w:val="none" w:sz="0" w:space="0" w:color="auto"/>
        <w:left w:val="none" w:sz="0" w:space="0" w:color="auto"/>
        <w:bottom w:val="none" w:sz="0" w:space="0" w:color="auto"/>
        <w:right w:val="none" w:sz="0" w:space="0" w:color="auto"/>
      </w:divBdr>
    </w:div>
    <w:div w:id="1249584846">
      <w:bodyDiv w:val="1"/>
      <w:marLeft w:val="0"/>
      <w:marRight w:val="0"/>
      <w:marTop w:val="0"/>
      <w:marBottom w:val="0"/>
      <w:divBdr>
        <w:top w:val="none" w:sz="0" w:space="0" w:color="auto"/>
        <w:left w:val="none" w:sz="0" w:space="0" w:color="auto"/>
        <w:bottom w:val="none" w:sz="0" w:space="0" w:color="auto"/>
        <w:right w:val="none" w:sz="0" w:space="0" w:color="auto"/>
      </w:divBdr>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2025-10-23T02:20:00Z</cp:lastPrinted>
  <dcterms:created xsi:type="dcterms:W3CDTF">2025-12-07T02:04:00Z</dcterms:created>
  <dcterms:modified xsi:type="dcterms:W3CDTF">2025-12-07T02:04:00Z</dcterms:modified>
</cp:coreProperties>
</file>