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A5E" w:rsidRPr="007D0CCB" w:rsidRDefault="003F7A5E" w:rsidP="003F7A5E">
      <w:pPr>
        <w:spacing w:before="120"/>
        <w:jc w:val="right"/>
        <w:rPr>
          <w:rFonts w:ascii="Arial" w:hAnsi="Arial" w:cs="Arial"/>
          <w:sz w:val="20"/>
          <w:szCs w:val="26"/>
        </w:rPr>
      </w:pPr>
      <w:bookmarkStart w:id="0" w:name="chuong_pl_8"/>
      <w:r w:rsidRPr="00D56026">
        <w:rPr>
          <w:rFonts w:ascii="Arial" w:hAnsi="Arial" w:cs="Arial"/>
          <w:b/>
          <w:bCs/>
          <w:sz w:val="20"/>
        </w:rPr>
        <w:t>Mẫu số 02</w:t>
      </w:r>
      <w:bookmarkEnd w:id="0"/>
    </w:p>
    <w:p w:rsidR="003F7A5E" w:rsidRPr="001330AC" w:rsidRDefault="003F7A5E" w:rsidP="003F7A5E">
      <w:pPr>
        <w:spacing w:before="120"/>
        <w:jc w:val="center"/>
        <w:rPr>
          <w:rFonts w:ascii="Arial" w:hAnsi="Arial" w:cs="Arial"/>
          <w:b/>
          <w:sz w:val="20"/>
          <w:szCs w:val="26"/>
        </w:rPr>
      </w:pPr>
      <w:r>
        <w:rPr>
          <w:rFonts w:ascii="Arial" w:hAnsi="Arial" w:cs="Arial"/>
          <w:b/>
          <w:sz w:val="20"/>
          <w:szCs w:val="26"/>
        </w:rPr>
        <w:t xml:space="preserve"> </w:t>
      </w:r>
      <w:bookmarkStart w:id="1" w:name="chuong_pl_8_name"/>
      <w:r w:rsidRPr="00D56026">
        <w:rPr>
          <w:rFonts w:ascii="Arial" w:hAnsi="Arial" w:cs="Arial"/>
          <w:b/>
          <w:sz w:val="20"/>
          <w:szCs w:val="26"/>
        </w:rPr>
        <w:t>BÁO CÁO KINH TẾ - KỸ THUẬT ĐẦU TƯ XÂY DỰNG DỰ ÁN PPP</w:t>
      </w:r>
      <w:bookmarkEnd w:id="1"/>
    </w:p>
    <w:p w:rsidR="003F7A5E" w:rsidRPr="007D0CCB" w:rsidRDefault="003F7A5E" w:rsidP="003F7A5E">
      <w:pPr>
        <w:spacing w:before="120"/>
        <w:rPr>
          <w:rFonts w:ascii="Arial" w:hAnsi="Arial" w:cs="Arial"/>
          <w:sz w:val="20"/>
          <w:szCs w:val="26"/>
        </w:rPr>
      </w:pPr>
      <w:r w:rsidRPr="007D0CCB">
        <w:rPr>
          <w:rFonts w:ascii="Arial" w:hAnsi="Arial" w:cs="Arial"/>
          <w:sz w:val="20"/>
          <w:szCs w:val="20"/>
        </w:rPr>
        <w:t xml:space="preserve">Báo cáo kinh tế - kỹ </w:t>
      </w:r>
      <w:r w:rsidRPr="00C74CEB">
        <w:rPr>
          <w:rFonts w:ascii="Arial" w:hAnsi="Arial" w:cs="Arial"/>
          <w:sz w:val="20"/>
          <w:szCs w:val="20"/>
        </w:rPr>
        <w:t xml:space="preserve">thuật đầu tư </w:t>
      </w:r>
      <w:r w:rsidRPr="00C74CEB">
        <w:rPr>
          <w:rFonts w:ascii="Arial" w:hAnsi="Arial" w:cs="Arial"/>
          <w:iCs/>
          <w:sz w:val="20"/>
        </w:rPr>
        <w:t>xây</w:t>
      </w:r>
      <w:r w:rsidRPr="007D0CCB">
        <w:rPr>
          <w:rFonts w:ascii="Arial" w:hAnsi="Arial" w:cs="Arial"/>
          <w:sz w:val="20"/>
          <w:szCs w:val="20"/>
        </w:rPr>
        <w:t xml:space="preserve"> dựng dự án PPP (BCKTKT) là tài liệu trình bày các nội dung nghiên cứu về sự cần thiết, tính khả thi và hiệu quả của dự án PPP. Phụ lục này hướng dẫn các nội dung được trình bày trong BCKTKT để cấp có thẩm quyền phê duyệt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Căn cứ tính chất, quy mô, lĩnh vực của dự án, đơn vị chuẩn bị dự án hoặc nhà đầu tư lập BCKTKT theo các nội dung được hướng dẫn dưới đây. Trường hợp áp dụng Mẫu này để trình bày các nội dung điều chỉnh BCNCKT, đơn vị chuẩn bị dự án hoặc nhà đầu tư sắp xếp, lựa chọn các nội dung phù hợp.</w:t>
      </w:r>
    </w:p>
    <w:p w:rsidR="003F7A5E" w:rsidRPr="007D0CCB" w:rsidRDefault="003F7A5E" w:rsidP="003F7A5E">
      <w:pPr>
        <w:spacing w:before="120"/>
        <w:rPr>
          <w:rFonts w:ascii="Arial" w:hAnsi="Arial" w:cs="Arial"/>
          <w:sz w:val="20"/>
          <w:szCs w:val="26"/>
        </w:rPr>
      </w:pPr>
      <w:r>
        <w:rPr>
          <w:rFonts w:ascii="Arial" w:hAnsi="Arial" w:cs="Arial"/>
          <w:b/>
          <w:bCs/>
          <w:sz w:val="20"/>
        </w:rPr>
        <w:t>A. THÔNG TIN CƠ BẢN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Tóm tắt và thuyết minh thông tin cơ bản của dự án, bao gồm: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1. Tên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2. Tên cơ quan có thẩm quyền, cơ quan ký kết hợp đồng.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kinh tế - kỹ thuật đầu tư xây dựng; tên cơ quan, đơn vị tiếp nhận hồ sơ của nhà đầu tư.</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4. Tổng mức đầu tư.</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5. Vốn nhà nước trong dự án PPP (nếu có), giá trị tối thiểu và thời hạn nộp ngân sách nhà nước (đối với dự án áp dụng loại hợp đồng O&amp;M).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6. Loại hợp đồng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7. Ưu đãi và bảo đảm đầu tư</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8. Tên bên mời thầu, hình thức lựa chọn nhà đầu tư và thời gian tổ chức lựa chọn nhà đầu tư</w:t>
      </w:r>
    </w:p>
    <w:p w:rsidR="003F7A5E" w:rsidRPr="007D0CCB" w:rsidRDefault="003F7A5E" w:rsidP="003F7A5E">
      <w:pPr>
        <w:spacing w:before="120"/>
        <w:rPr>
          <w:rFonts w:ascii="Arial" w:hAnsi="Arial" w:cs="Arial"/>
          <w:sz w:val="20"/>
          <w:szCs w:val="26"/>
        </w:rPr>
      </w:pPr>
      <w:r w:rsidRPr="007D0CCB">
        <w:rPr>
          <w:rFonts w:ascii="Arial" w:hAnsi="Arial" w:cs="Arial"/>
          <w:b/>
          <w:bCs/>
          <w:sz w:val="20"/>
        </w:rPr>
        <w:t>B. CĂN CỨ LẬP BÁO CÁO KINH TẾ - KỸ THUẬT ĐẦU TƯ XÂY DỰNG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Liệt kê các văn bản pháp lý chủ yếu làm căn cứ lập BCKTKT, bao gồm: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1. Các Luật, Nghị định và Thông tư hướng dẫn liên quan đến việc triển khai dự án theo phương thức PPP.</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2. Các Luật, Nghị định và Thông tư hướng dẫn liên quan đến ngành, lĩnh vực đầu tư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3. Các quyết định, văn bản của cấp có thẩm quyền trong các bước lập, thẩm định báo cáo đề xuất chủ trương đầu tư, quyết định chủ trương đầu tư (nếu có); trường hợp dự án áp dụng loại hợp đồng O&amp;M, các quyết định, văn bản của cấp có thẩm quyền liên quan đến công trình, hệ thống cơ sở hạ tầng.</w:t>
      </w:r>
    </w:p>
    <w:p w:rsidR="003F7A5E" w:rsidRPr="007D0CCB" w:rsidRDefault="003F7A5E" w:rsidP="003F7A5E">
      <w:pPr>
        <w:spacing w:before="120"/>
        <w:rPr>
          <w:rFonts w:ascii="Arial" w:hAnsi="Arial" w:cs="Arial"/>
          <w:sz w:val="20"/>
          <w:szCs w:val="26"/>
        </w:rPr>
      </w:pPr>
      <w:r w:rsidRPr="007D0CCB">
        <w:rPr>
          <w:rFonts w:ascii="Arial" w:hAnsi="Arial" w:cs="Arial"/>
          <w:b/>
          <w:bCs/>
          <w:sz w:val="20"/>
        </w:rPr>
        <w:t>C. THÀNH PHẦN HỒ SƠ TRÌNH</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Liệt kê thành phần hồ sơ trình tương ứng với từng giai đoạn</w:t>
      </w:r>
    </w:p>
    <w:p w:rsidR="003F7A5E" w:rsidRPr="007D0CCB" w:rsidRDefault="003F7A5E" w:rsidP="003F7A5E">
      <w:pPr>
        <w:spacing w:before="120"/>
        <w:rPr>
          <w:rFonts w:ascii="Arial" w:hAnsi="Arial" w:cs="Arial"/>
          <w:sz w:val="20"/>
          <w:szCs w:val="26"/>
        </w:rPr>
      </w:pPr>
      <w:r>
        <w:rPr>
          <w:rFonts w:ascii="Arial" w:hAnsi="Arial" w:cs="Arial"/>
          <w:b/>
          <w:bCs/>
          <w:sz w:val="20"/>
        </w:rPr>
        <w:t>I. THÀNH PHẦN HỒ SƠ ĐỀ NGHỊ THẨM ĐỊNH BCKTKT (HOẶC NỘI DUNG ĐIỀU CHỈNH BCKTKT)</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1. Văn bản đề nghị thẩm định.</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2. Dự thảo tờ trình đề nghị phê duyệt dự án (hoặc điều chỉnh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3. BCKTKT (hoặc nội dung điều chỉnh BCKTKT).</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4. Quyết định chủ trương đầu tư (hoặc quyết định điều chỉnh chủ trương đầu tư) (nếu có).</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5. Tài liệu pháp lý khác có liên quan của dự án.</w:t>
      </w:r>
    </w:p>
    <w:p w:rsidR="003F7A5E" w:rsidRPr="007D0CCB" w:rsidRDefault="003F7A5E" w:rsidP="003F7A5E">
      <w:pPr>
        <w:spacing w:before="120"/>
        <w:rPr>
          <w:rFonts w:ascii="Arial" w:hAnsi="Arial" w:cs="Arial"/>
          <w:sz w:val="20"/>
          <w:szCs w:val="26"/>
        </w:rPr>
      </w:pPr>
      <w:r>
        <w:rPr>
          <w:rFonts w:ascii="Arial" w:hAnsi="Arial" w:cs="Arial"/>
          <w:b/>
          <w:bCs/>
          <w:sz w:val="20"/>
        </w:rPr>
        <w:t>II. THÀNH PHẦN HỒ SƠ ĐỀ NGHỊ PHÊ DUYỆT DỰ ÁN (HOẶC ĐIỀU CHỈNH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1. Tờ trình đề nghị phê duyệt dự án (hoặc điều chỉnh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2. Dự thảo quyết định phê duyệt dự án (hoặc quyết định điều chỉnh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3. BCKTKT (hoặc nội dung điều chỉnh BCKTKT).</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lastRenderedPageBreak/>
        <w:t>4. Báo cáo thẩm định BCNCKT (hoặc báo cáo thẩm định nội dung điều chỉnh BCNCKT).</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5. Quyết định chủ trương đầu tư (hoặc quyết định điều chỉnh chủ trương đầu tư) (nếu có).</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6. Tài liệu pháp lý khác có liên quan của dự án.</w:t>
      </w:r>
    </w:p>
    <w:p w:rsidR="003F7A5E" w:rsidRPr="007D0CCB" w:rsidRDefault="003F7A5E" w:rsidP="003F7A5E">
      <w:pPr>
        <w:spacing w:before="120"/>
        <w:rPr>
          <w:rFonts w:ascii="Arial" w:hAnsi="Arial" w:cs="Arial"/>
          <w:sz w:val="20"/>
          <w:szCs w:val="26"/>
        </w:rPr>
      </w:pPr>
      <w:r>
        <w:rPr>
          <w:rFonts w:ascii="Arial" w:hAnsi="Arial" w:cs="Arial"/>
          <w:b/>
          <w:bCs/>
          <w:sz w:val="20"/>
        </w:rPr>
        <w:t>D. NỘI DUNG BÁO CÁO KINH TẾ - KỸ THUẬT ĐẦU TƯ XÂY DỰNG</w:t>
      </w:r>
    </w:p>
    <w:p w:rsidR="003F7A5E" w:rsidRPr="007D0CCB" w:rsidRDefault="003F7A5E" w:rsidP="003F7A5E">
      <w:pPr>
        <w:spacing w:before="120"/>
        <w:rPr>
          <w:rFonts w:ascii="Arial" w:hAnsi="Arial" w:cs="Arial"/>
          <w:sz w:val="20"/>
          <w:szCs w:val="26"/>
        </w:rPr>
      </w:pPr>
      <w:r>
        <w:rPr>
          <w:rFonts w:ascii="Arial" w:hAnsi="Arial" w:cs="Arial"/>
          <w:b/>
          <w:bCs/>
          <w:sz w:val="20"/>
        </w:rPr>
        <w:t>I. SỰ CẦN THIẾT ĐẦU TƯ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1. Bối cảnh chung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Trường hợp dự án có cấu phần xây dựng, thuyết minh các nội dung sau:</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Thuyết minh bối cảnh chung về kinh tế - xã hội của quốc gia, địa phương trong giai đoạn dự án được triển khai.</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Tổng quan về ngành, lĩnh vực mà dự án đề xuất, các ảnh hưởng trực tiếp, gián tiếp của các quy định về pháp luật chuyên ngành đối với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Nhận định các lợi ích dự kiến dự án sẽ đóng góp cho quốc gia và/hoặc địa phương.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Trường hợp dự án áp dụng loại hợp đồng O&amp;M, thuyết minh sự phù hợp của dự án và các lợi ích dự kiến dự án sẽ đóng góp cho quốc gia và/hoặc địa phương.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2. Hiện trạng khu vực thực hiện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Trường hợp dự án khởi công mới, thuyết minh về hiện trạng, thực trạng của khu vực, địa điểm sẽ triển khai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Trường hợp dự án cải tạo, sửa chữa, nâng cấp, đánh giá bổ sung hiện trạng của công trình cần cải tạo, sửa chữa, nâng cấp.</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Trường hợp dự án áp dụng loại hợp đồng O&amp;M, đánh giá hiện trạng công trình, hệ thống cơ sở hạ tầng thuộc dự án; máy móc, thiết bị và các loại tài sản khác có liên quan.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3. Lợi thế của việc đầu tư theo phương thức PPP:</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Phân tích chi tiết lợi thế đối với dự án khi đầu tư theo phương thức PPP so với hình thức đầu tư khác trên cơ sở các nội dung: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Khả năng thu hút nguồn vốn;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Chất lượng dịch vụ cung cấp;</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Các yếu tố khác của khu vực tư nhân và nhà nước (nếu có).</w:t>
      </w:r>
    </w:p>
    <w:p w:rsidR="003F7A5E" w:rsidRPr="007D0CCB" w:rsidRDefault="003F7A5E" w:rsidP="003F7A5E">
      <w:pPr>
        <w:spacing w:before="120"/>
        <w:rPr>
          <w:rFonts w:ascii="Arial" w:hAnsi="Arial" w:cs="Arial"/>
          <w:sz w:val="20"/>
          <w:szCs w:val="26"/>
        </w:rPr>
      </w:pPr>
      <w:r>
        <w:rPr>
          <w:rFonts w:ascii="Arial" w:hAnsi="Arial" w:cs="Arial"/>
          <w:b/>
          <w:bCs/>
          <w:sz w:val="20"/>
        </w:rPr>
        <w:t>II. PHÂN TÍCH HIỆU QUẢ KINH TẾ - XÃ HỘI CỦA DỰ ÁN; TÁC ĐỘNG VỀ MÔI TRƯỜNG, XÃ HỘI VÀ QUỐC PHÒNG, AN NINH</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1. Xác định các yếu tố chi phí và lợi ích về mặt kinh tế - xã hội</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Xác định chi tiết các yếu tố chi phí và lợi ích về mặt kinh tế - xã hội của dự án theo các nhóm yếu tố dưới đây:</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Nhóm yếu tố có thể định lượng và quy đổi được thành tiền (được sử dụng để tính toán các chỉ tiêu phân tích hiệu quả kinh tế - xã hội của dự án, ví dụ: đối với dự án áp dụng loại hợp đồng O&amp;M, lợi ích thu được từ việc nhận giá trị nộp ngân sách nhà nước; lợi ích thu được do nhà nước không phải bố trí vốn ngân sách hàng năm cho công tác quản lý, vận hành khai thác, bảo trì công trình, hệ thống cơ sở hạ tầng).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Nhóm yếu tố có thể định lượng nhưng không định giá được (ví dụ: lợi ích do cải thiện về môi trường, lợi ích do thúc đẩy tăng trưởng kinh tế, gia tăng việc làm...).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Nhóm yếu tố chỉ có thể định tính (ví dụ: lợi ích do tăng tính kết nối giữa các vùng sản xuất và đầu mối tiêu thụ, cải thiện chất lượng cuộc sống của người dân vùng dự án, lợi ích do nhà nước không phải tổ chức bộ máy để trực tiếp kinh doanh, khai thác công trình, hệ thống cơ sở hạ tầng...).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lastRenderedPageBreak/>
        <w:t>2. Các chỉ tiêu phân tích hiệu quả kinh tế - xã hội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a) Giá trị hiện tại ròng kinh tế (ENPV)</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ENPV là hiệu số giữa tổng lợi ích mang lại trừ đi tổng chi phí bỏ ra trong thời gian tính toán kinh tế, được quy đổi về hiện tại. Để đảm bảo dự án đạt hiệu quả kinh tế - xã hội, ENPV phải dương (&gt; 0) và được tính theo công thức sau:</w:t>
      </w:r>
    </w:p>
    <w:p w:rsidR="003F7A5E" w:rsidRPr="007D0CCB" w:rsidRDefault="003F7A5E" w:rsidP="003F7A5E">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222BA8B8" wp14:editId="7FF46A30">
            <wp:extent cx="2514600" cy="561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561975"/>
                    </a:xfrm>
                    <a:prstGeom prst="rect">
                      <a:avLst/>
                    </a:prstGeom>
                    <a:noFill/>
                    <a:ln>
                      <a:noFill/>
                    </a:ln>
                  </pic:spPr>
                </pic:pic>
              </a:graphicData>
            </a:graphic>
          </wp:inline>
        </w:drawing>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Trong đó:</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B</w:t>
      </w:r>
      <w:r w:rsidRPr="007D0CCB">
        <w:rPr>
          <w:rFonts w:ascii="Arial" w:hAnsi="Arial" w:cs="Arial"/>
          <w:sz w:val="20"/>
          <w:szCs w:val="20"/>
          <w:vertAlign w:val="subscript"/>
        </w:rPr>
        <w:t>t</w:t>
      </w:r>
      <w:r w:rsidRPr="007D0CCB">
        <w:rPr>
          <w:rFonts w:ascii="Arial" w:hAnsi="Arial" w:cs="Arial"/>
          <w:sz w:val="20"/>
          <w:szCs w:val="20"/>
        </w:rPr>
        <w:t>: lợi ích năm thứ t;</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C</w:t>
      </w:r>
      <w:r w:rsidRPr="007D0CCB">
        <w:rPr>
          <w:rFonts w:ascii="Arial" w:hAnsi="Arial" w:cs="Arial"/>
          <w:sz w:val="20"/>
          <w:szCs w:val="20"/>
          <w:vertAlign w:val="subscript"/>
        </w:rPr>
        <w:t>t</w:t>
      </w:r>
      <w:r w:rsidRPr="007D0CCB">
        <w:rPr>
          <w:rFonts w:ascii="Arial" w:hAnsi="Arial" w:cs="Arial"/>
          <w:sz w:val="20"/>
          <w:szCs w:val="20"/>
        </w:rPr>
        <w:t>: chi phí năm thứ t;</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 năm trong vòng đời dự án (0, 1, 2,..., 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n: số năm hoạt động của dự án (thời gian hợp đồng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r</w:t>
      </w:r>
      <w:r w:rsidRPr="007D0CCB">
        <w:rPr>
          <w:rFonts w:ascii="Arial" w:hAnsi="Arial" w:cs="Arial"/>
          <w:sz w:val="20"/>
          <w:szCs w:val="20"/>
          <w:vertAlign w:val="subscript"/>
        </w:rPr>
        <w:t>e</w:t>
      </w:r>
      <w:r w:rsidRPr="007D0CCB">
        <w:rPr>
          <w:rFonts w:ascii="Arial" w:hAnsi="Arial" w:cs="Arial"/>
          <w:sz w:val="20"/>
          <w:szCs w:val="20"/>
        </w:rPr>
        <w:t>: tỷ suất chiết khấu kinh tế của dự án. Giá trị r</w:t>
      </w:r>
      <w:r w:rsidRPr="007D0CCB">
        <w:rPr>
          <w:rFonts w:ascii="Arial" w:hAnsi="Arial" w:cs="Arial"/>
          <w:sz w:val="20"/>
          <w:szCs w:val="20"/>
          <w:vertAlign w:val="subscript"/>
        </w:rPr>
        <w:t>e</w:t>
      </w:r>
      <w:r w:rsidRPr="007D0CCB">
        <w:rPr>
          <w:rFonts w:ascii="Arial" w:hAnsi="Arial" w:cs="Arial"/>
          <w:sz w:val="20"/>
          <w:szCs w:val="20"/>
        </w:rPr>
        <w:t xml:space="preserve"> được xác định theo quy định của từng ngành. Trường hợp chưa được quy định cụ thể thì đơn vị lập BCNCKT có thể tham khảo giá trị r</w:t>
      </w:r>
      <w:r w:rsidRPr="007D0CCB">
        <w:rPr>
          <w:rFonts w:ascii="Arial" w:hAnsi="Arial" w:cs="Arial"/>
          <w:sz w:val="20"/>
          <w:szCs w:val="20"/>
          <w:vertAlign w:val="subscript"/>
        </w:rPr>
        <w:t>e</w:t>
      </w:r>
      <w:r w:rsidRPr="007D0CCB">
        <w:rPr>
          <w:rFonts w:ascii="Arial" w:hAnsi="Arial" w:cs="Arial"/>
          <w:sz w:val="20"/>
          <w:szCs w:val="20"/>
        </w:rPr>
        <w:t xml:space="preserve"> = 10% hoặc đề xuất giá trị tính toán khác nhưng cần có thuyết minh về lý do lựa chọn giá trị đó.</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b) Tỷ số lợi ích trên chi phí về kinh tế (BCR)</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BCR là tỷ số giữa tổng lợi ích mà việc đầu tư mang lại trên tổng chi phí bỏ ra trong quá trình đầu tư và khai thác đã được quy về giá trị hiện tại. Để đảm bảo dự án đạt hiệu quả kinh tế - xã hội, BCR phải lớn hơn 1 (&gt; 1) và được tính theo công thức sau:</w:t>
      </w:r>
    </w:p>
    <w:p w:rsidR="003F7A5E" w:rsidRPr="007D0CCB" w:rsidRDefault="003F7A5E" w:rsidP="003F7A5E">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5E9AC15A" wp14:editId="71F874BB">
            <wp:extent cx="167640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990600"/>
                    </a:xfrm>
                    <a:prstGeom prst="rect">
                      <a:avLst/>
                    </a:prstGeom>
                    <a:noFill/>
                    <a:ln>
                      <a:noFill/>
                    </a:ln>
                  </pic:spPr>
                </pic:pic>
              </a:graphicData>
            </a:graphic>
          </wp:inline>
        </w:drawing>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Trong đó: B</w:t>
      </w:r>
      <w:r w:rsidRPr="007D0CCB">
        <w:rPr>
          <w:rFonts w:ascii="Arial" w:hAnsi="Arial" w:cs="Arial"/>
          <w:sz w:val="20"/>
          <w:szCs w:val="20"/>
          <w:vertAlign w:val="subscript"/>
        </w:rPr>
        <w:t>t</w:t>
      </w:r>
      <w:r w:rsidRPr="007D0CCB">
        <w:rPr>
          <w:rFonts w:ascii="Arial" w:hAnsi="Arial" w:cs="Arial"/>
          <w:sz w:val="20"/>
          <w:szCs w:val="20"/>
        </w:rPr>
        <w:t>, C</w:t>
      </w:r>
      <w:r w:rsidRPr="007D0CCB">
        <w:rPr>
          <w:rFonts w:ascii="Arial" w:hAnsi="Arial" w:cs="Arial"/>
          <w:sz w:val="20"/>
          <w:szCs w:val="20"/>
          <w:vertAlign w:val="subscript"/>
        </w:rPr>
        <w:t>t</w:t>
      </w:r>
      <w:r w:rsidRPr="007D0CCB">
        <w:rPr>
          <w:rFonts w:ascii="Arial" w:hAnsi="Arial" w:cs="Arial"/>
          <w:sz w:val="20"/>
          <w:szCs w:val="20"/>
        </w:rPr>
        <w:t>, t, n, r</w:t>
      </w:r>
      <w:r w:rsidRPr="007D0CCB">
        <w:rPr>
          <w:rFonts w:ascii="Arial" w:hAnsi="Arial" w:cs="Arial"/>
          <w:sz w:val="20"/>
          <w:szCs w:val="20"/>
          <w:vertAlign w:val="subscript"/>
        </w:rPr>
        <w:t>e</w:t>
      </w:r>
      <w:r w:rsidRPr="007D0CCB">
        <w:rPr>
          <w:rFonts w:ascii="Arial" w:hAnsi="Arial" w:cs="Arial"/>
          <w:sz w:val="20"/>
          <w:szCs w:val="20"/>
        </w:rPr>
        <w:t xml:space="preserve"> có ý nghĩa tương tự như trong công thức tính ENPV nêu trên.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c) Tỷ suất nội hoàn kinh tế (EIRR)</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Tỷ suất nội hoàn kinh tế là tỷ suất chiết khấu kinh tế tối đa để dự án thu hồi nguồn vốn đầu tư và chi phí vận hành, đạt được sự hòa vốn. EIRR bằng giá trị tỷ suất chiết khấu (r</w:t>
      </w:r>
      <w:r w:rsidRPr="007D0CCB">
        <w:rPr>
          <w:rFonts w:ascii="Arial" w:hAnsi="Arial" w:cs="Arial"/>
          <w:sz w:val="20"/>
          <w:szCs w:val="20"/>
          <w:vertAlign w:val="subscript"/>
        </w:rPr>
        <w:t>e</w:t>
      </w:r>
      <w:r w:rsidRPr="007D0CCB">
        <w:rPr>
          <w:rFonts w:ascii="Arial" w:hAnsi="Arial" w:cs="Arial"/>
          <w:sz w:val="20"/>
          <w:szCs w:val="20"/>
        </w:rPr>
        <w:t>) trong trường hợp ENPV = 0 và được xác định thông qua việc giải phương trình sau:</w:t>
      </w:r>
    </w:p>
    <w:p w:rsidR="003F7A5E" w:rsidRPr="007D0CCB" w:rsidRDefault="003F7A5E" w:rsidP="003F7A5E">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63A31E5F" wp14:editId="03D106D8">
            <wp:extent cx="288607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485775"/>
                    </a:xfrm>
                    <a:prstGeom prst="rect">
                      <a:avLst/>
                    </a:prstGeom>
                    <a:noFill/>
                    <a:ln>
                      <a:noFill/>
                    </a:ln>
                  </pic:spPr>
                </pic:pic>
              </a:graphicData>
            </a:graphic>
          </wp:inline>
        </w:drawing>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Trong đó: B</w:t>
      </w:r>
      <w:r w:rsidRPr="007D0CCB">
        <w:rPr>
          <w:rFonts w:ascii="Arial" w:hAnsi="Arial" w:cs="Arial"/>
          <w:sz w:val="20"/>
          <w:szCs w:val="20"/>
          <w:vertAlign w:val="subscript"/>
        </w:rPr>
        <w:t>t</w:t>
      </w:r>
      <w:r w:rsidRPr="007D0CCB">
        <w:rPr>
          <w:rFonts w:ascii="Arial" w:hAnsi="Arial" w:cs="Arial"/>
          <w:sz w:val="20"/>
          <w:szCs w:val="20"/>
        </w:rPr>
        <w:t>, C</w:t>
      </w:r>
      <w:r w:rsidRPr="007D0CCB">
        <w:rPr>
          <w:rFonts w:ascii="Arial" w:hAnsi="Arial" w:cs="Arial"/>
          <w:sz w:val="20"/>
          <w:szCs w:val="20"/>
          <w:vertAlign w:val="subscript"/>
        </w:rPr>
        <w:t>t</w:t>
      </w:r>
      <w:r w:rsidRPr="007D0CCB">
        <w:rPr>
          <w:rFonts w:ascii="Arial" w:hAnsi="Arial" w:cs="Arial"/>
          <w:sz w:val="20"/>
          <w:szCs w:val="20"/>
        </w:rPr>
        <w:t>, t, n có ý nghĩa tương tự như trong công thức tính ENPV nêu trên.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Để đảm bảo dự án đạt hiệu quả kinh tế - xã hội, EIRR phải lớn hơn tỷ suất chiết khấu xã hội (SDR - Social Discount Rate); EIRR &gt; SDR. Giá trị SDR được xác định theo quy định của từng ngành. Trường hợp chưa được quy định cụ thể thì đơn vị lập BCKTKT có thể tham khảo giá trị SDR = 10% hoặc đề xuất giá trị tính toán khác nhưng cần có thuyết minh về lý do lựa chọn giá trị đó.</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3. Kết luận về hiệu quả kinh tế - xã hội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Trên cơ sở phân tích theo hướng dẫn nêu trên, BCKTKT nêu kết luận về hiệu quả kinh tế - xã hội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lastRenderedPageBreak/>
        <w:t>Trường hợp không đủ điều kiện xác định các yếu tố chi phí và lợi ích có thể định lượng và quy đổi được thành tiền làm cơ sở để tính toán các chỉ tiêu phân tích hiệu quả kinh tế - xã hội của dự án, BCKTKT nêu kết luận về hiệu quả kinh tế - xã hội của dự án trên cơ sở các nhóm yếu tố còn lại.</w:t>
      </w:r>
    </w:p>
    <w:p w:rsidR="003F7A5E" w:rsidRPr="007D0CCB" w:rsidRDefault="003F7A5E" w:rsidP="003F7A5E">
      <w:pPr>
        <w:spacing w:before="120"/>
        <w:rPr>
          <w:rFonts w:ascii="Arial" w:hAnsi="Arial" w:cs="Arial"/>
          <w:sz w:val="20"/>
          <w:szCs w:val="26"/>
        </w:rPr>
      </w:pPr>
      <w:r w:rsidRPr="007D0CCB">
        <w:rPr>
          <w:rFonts w:ascii="Arial" w:hAnsi="Arial" w:cs="Arial"/>
          <w:b/>
          <w:bCs/>
          <w:sz w:val="20"/>
        </w:rPr>
        <w:t>III. PHÂN TÍCH TÀI CHÍNH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1. Các thông số đầu vào sử dụng trong mô hình tài chính</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Chi phí trong suốt vòng đời dự án: Chi phí trong suốt vòng đời dự án gồm tổng mức đầu tư và chi phí khai thác, vận hành trong suốt vòng đời dự án. Trong đó, tổng mức đầu tư được xác định theo quy định của pháp luật về xây dựng đối với dự án có cấu phần xây dựng hoặc theo pháp luật chuyên ngành,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Các thông số đầu vào khác: Lãi vay, thời gian vay; tỷ lệ lạm phát; tỷ giá; tỷ lệ khấu hao và các thông số khác.</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2. Phương án tài chính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Trình bày nội dung phương án tài chính (nội dung chi tiết thực hiện theo hướng dẫn của Chính phủ tại Nghị định quy định chi tiết cơ chế tài chính trong dự án PPP), bao gồm: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Tổng mức đầu tư: Trên cơ sở các thuyết minh về kỹ thuật được lựa chọn, BCKTKT xác định tổng mức đầu tư của dự án (nếu có).</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Vốn nhà nước tham gia trong dự án dự kiến (nếu có), cụ thể bao gồm: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Vốn hỗ trợ xây dựng công trình, hệ thống cơ sở hạ tầng thuộc dự án PPP: vốn đầu tư công;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Vốn thanh toán (bao gồm phương thức thanh toán) cho nhà đầu tư thực hiện dự án áp dụng loại hợp đồng BTL, BLT;</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Vốn nhà nước để chi trả kinh phí bồi thường, giải phóng mặt bằng, hỗ trợ tái định cư, hỗ trợ xây dựng công trình tạm.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Phương án thu hồi vốn đầu tư và lợi nhuận của nhà đầu tư đối với dự án áp dụng loại hợp đồng BOT, BTO, BOO và O&amp;M.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Giá trị tối thiểu, thời hạn nộp ngân sách nhà nước đối với dự án áp dụng loại hợp đồng O&amp;M. Trong đó, nêu rõ giá trị khoản tiền mà nhà đầu tư sẽ nộp ngân sách nhà nước, cách thức xử lý khoản tiền nộp ngân sách nhà nước và lãi suất phát sinh (nếu có) trong trường hợp nhà đầu tư vi phạm hợp đồng; hình thức nộp ngân sách nhà nước (nộp một lần sau khi hợp đồng có hiệu lực hoặc nộp hằng năm với số tiền bằng giá trị nộp ngân sách nhà nước chia cho số năm theo thời hạn hợp đồng, trường hợp nộp hằng năm thì nêu mức lãi suất áp dụng đối với số tiền chưa nộp và lãi phát sinh trong trường hợp chậm nộp), thời hạn, phương thức nộp ngân sách nhà nước.</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Thời hạn hợp đồng dự án. Đối với dự án áp dụng loại hợp đồng O&amp;M, thời hạn hợp đồng dự án được xác định căn cứ thời hạn giao đất, cho thuê đất theo quy định của pháp luật về đất đai; yêu cầu về kỹ thuật, công nghệ của từng loại công trình, hệ thống cơ sở hạ tầng; thời gian cần sửa chữa định kỳ; thời gian sử dụng công trình, hệ thống cơ sở hạ tầng; phương án tài chính, giá trị nộp ngân sách nhà nước tối thiểu; các yếu tố khác theo quy định pháp luật chuyên ngành.</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lastRenderedPageBreak/>
        <w:t>- Đề xuất ưu đãi đảm bảo phương án tài chính của dự án (nếu có).</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Dự kiến các khoản chi phí của dự án trong thời gian vận hành.</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xml:space="preserve">- Các thông số đầu vào, </w:t>
      </w:r>
      <w:r>
        <w:rPr>
          <w:rFonts w:ascii="Arial" w:hAnsi="Arial" w:cs="Arial"/>
          <w:sz w:val="20"/>
          <w:szCs w:val="20"/>
        </w:rPr>
        <w:t>chỉ</w:t>
      </w:r>
      <w:r w:rsidRPr="007D0CCB">
        <w:rPr>
          <w:rFonts w:ascii="Arial" w:hAnsi="Arial" w:cs="Arial"/>
          <w:sz w:val="20"/>
          <w:szCs w:val="20"/>
        </w:rPr>
        <w:t xml:space="preserve"> tiêu tài chính.</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3. Dự báo nhu cầu</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BCKTKT phân tích nhu cầu sử dụng công trình, hệ thống cơ sở hạ tầng của dự án, sản phẩm, dịch vụ công được cung cấp; dự báo tốc độ tăng trưởng nhu cầu trong tương lai, cụ thể:</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Phân tích nhu cầu hiện tại: Căn cứ hiện trạng dự án, quy mô, công suất dự án, xác định số lượng đối tượng hưởng lợi từ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Dự báo nhu cầu tương lai: Xây dựng các kịch bản về nhu cầu (tối đa, trung bình, tối thiểu) trong suốt vòng đời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Phân tích khả năng chi trả của cộng đồng người sử dụng, tổ chức bao tiêu đối với dự án áp dụng loại hợp đồng BOT, BTO, BOO, O&amp;M.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4. Các chỉ tiêu tài chính xem xét tính khả thi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Căn cứ nội dung phương án tài chính và các thông số đầu vào của mô hình tài chính, tính khả thi về tài chính của dự án được xem xét trên cơ sở các chỉ tiêu tài chính sau:</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Giá trị hiện tại ròng tài chính (NPV) của dự án là giá trị hiện lại của dòng tiền thuần trong suốt vòng đời dự án. Để đảm bảo dự án đạt hiệu quả tài chính, NPV phải dương (&gt; 0) và được tính theo công thức sau:</w:t>
      </w:r>
    </w:p>
    <w:p w:rsidR="003F7A5E" w:rsidRPr="007D0CCB" w:rsidRDefault="003F7A5E" w:rsidP="003F7A5E">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05004844" wp14:editId="76E10A3A">
            <wp:extent cx="12954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inline>
        </w:drawing>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Trong đó:</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CF</w:t>
      </w:r>
      <w:r w:rsidRPr="007D0CCB">
        <w:rPr>
          <w:rFonts w:ascii="Arial" w:hAnsi="Arial" w:cs="Arial"/>
          <w:sz w:val="20"/>
          <w:szCs w:val="20"/>
          <w:vertAlign w:val="subscript"/>
        </w:rPr>
        <w:t>t</w:t>
      </w:r>
      <w:r w:rsidRPr="007D0CCB">
        <w:rPr>
          <w:rFonts w:ascii="Arial" w:hAnsi="Arial" w:cs="Arial"/>
          <w:sz w:val="20"/>
          <w:szCs w:val="20"/>
        </w:rPr>
        <w:t>: giá trị dòng tiền thuần là khoản chênh lệch giữa số tiền thu được (dòng tiền vào) và số tiền chi ra (dòng tiền ra) của dự án tại năm thứ t;</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 năm trong vòng đời dự án (0, 1, 2,..., 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n: số năm hoạt động của dự án (thời gian hợp đồng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r: tỷ suất chiết khấu.</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Tỷ suất nội hoàn tài chính (IRR) cho biết lợi nhuận của dự án, không bao gồm cơ cấu huy động vốn. IRR là tỷ suất chiết khấu (r) tại điều kiện biên NPV = 0 và được tính toán thông qua việc giải phương trình sau đây:</w:t>
      </w:r>
    </w:p>
    <w:p w:rsidR="003F7A5E" w:rsidRPr="007D0CCB" w:rsidRDefault="003F7A5E" w:rsidP="003F7A5E">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325255BF" wp14:editId="1BB051D6">
            <wp:extent cx="18288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Trong đó: CF</w:t>
      </w:r>
      <w:r w:rsidRPr="007D0CCB">
        <w:rPr>
          <w:rFonts w:ascii="Arial" w:hAnsi="Arial" w:cs="Arial"/>
          <w:sz w:val="20"/>
          <w:szCs w:val="20"/>
          <w:vertAlign w:val="subscript"/>
        </w:rPr>
        <w:t>t</w:t>
      </w:r>
      <w:r w:rsidRPr="007D0CCB">
        <w:rPr>
          <w:rFonts w:ascii="Arial" w:hAnsi="Arial" w:cs="Arial"/>
          <w:sz w:val="20"/>
          <w:szCs w:val="20"/>
        </w:rPr>
        <w:t>, t, n có ý nghĩa tương tự như trong công thức tính NPV nêu trên.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án có tính khả thi về tài chính khi IRR lớn hơn giá trị (i) và phù hợp với các giá trị (ii), (iii). Ngoài ra, có thể sử dụng chỉ số khả năng trả nợ (DSCR) để đánh giá tính khả thi về tài chính đối với bên cho vay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Căn cứ điều kiện cụ thể của từng dự án, BCKTKT bổ sung các chỉ tiêu đánh giá tính khả thi của phương án tài chính theo quy định tại Nghị định cơ chế quản lý tài chính dự án PPP.</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5. Kết luận về tính khả thi tài chính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lastRenderedPageBreak/>
        <w:t>Trên cơ sở các phân tích tại các Mục nêu trên, căn cứ tính chất của từng loại hợp đồng dự án, nêu kết luận về tính khả thi tài chính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6. Quản lý và sử dụng vốn nhà nước trong dự án PPP</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Căn cứ kết quả phân tích hiệu quả kinh tế - xã hội và phương án tài chính của dự án, thuyết minh các nội dung có liên quan đến việc quản lý và sử dụng vốn nhà nước trong dự án PPP, bao gồm: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Đối với dự án cần vốn hỗ trợ xây dựng công trình, hệ thống cơ sở hạ tầng 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rsidR="003F7A5E" w:rsidRPr="007D0CCB" w:rsidRDefault="003F7A5E" w:rsidP="003F7A5E">
      <w:pPr>
        <w:spacing w:before="120"/>
        <w:rPr>
          <w:rFonts w:ascii="Arial" w:hAnsi="Arial" w:cs="Arial"/>
          <w:sz w:val="20"/>
          <w:szCs w:val="26"/>
        </w:rPr>
      </w:pPr>
      <w:r w:rsidRPr="007D0CCB">
        <w:rPr>
          <w:rFonts w:ascii="Arial" w:hAnsi="Arial" w:cs="Arial"/>
          <w:b/>
          <w:bCs/>
          <w:sz w:val="20"/>
        </w:rPr>
        <w:t>IV. LOẠI HỢP ĐỒNG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1. Căn cứ lựa chọn loại hợp đồng cho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BCKTKT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Phương án kỹ thuật, công nghệ;</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Phương án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2. Trách nhiệm của các bên trong việc thực hiện hợp đồng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Thuyết minh chi tiết về vai trò, trách nhiệm trong suốt vòng đời dự án của các bên có liên quan, bao gồm: Cơ quan có thẩm quyền, nhà đầu tư, doanh nghiệp dự án và các tổ chức khác có liên quan (bên cho vay, đơn vị cung ứng đầu vào, đơn vị bao tiêu sản phẩm, nhà thầu...).</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3. Phân tích các rủi ro chính của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4. Cơ chế phân bổ và quản lý rủi ro</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
    <w:p w:rsidR="003F7A5E" w:rsidRPr="007D0CCB" w:rsidRDefault="003F7A5E" w:rsidP="003F7A5E">
      <w:pPr>
        <w:spacing w:before="120"/>
        <w:rPr>
          <w:rFonts w:ascii="Arial" w:hAnsi="Arial" w:cs="Arial"/>
          <w:sz w:val="20"/>
          <w:szCs w:val="26"/>
        </w:rPr>
      </w:pPr>
      <w:r w:rsidRPr="007D0CCB">
        <w:rPr>
          <w:rFonts w:ascii="Arial" w:hAnsi="Arial" w:cs="Arial"/>
          <w:b/>
          <w:bCs/>
          <w:sz w:val="20"/>
        </w:rPr>
        <w:t>V. CÁC HÌNH THỨC ƯU ĐÃI, BẢO ĐẢM ĐẦU TƯ</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1. Ưu đãi, bảo đảm đầu tư</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Thuyết minh chi tiết về các 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2. Cơ chế chia sẻ phần giảm doanh thu</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lastRenderedPageBreak/>
        <w:t>Nêu rõ việc dự án được áp dụng cơ chế chia sẻ rủi ro; dự kiến nguồn vốn và khả năng cân đối nguồn vốn để xử lý rủi ro giảm doanh thu theo quyết định chủ trương đầu tư (nếu có).</w:t>
      </w:r>
    </w:p>
    <w:p w:rsidR="003F7A5E" w:rsidRPr="007D0CCB" w:rsidRDefault="003F7A5E" w:rsidP="003F7A5E">
      <w:pPr>
        <w:spacing w:before="120"/>
        <w:rPr>
          <w:rFonts w:ascii="Arial" w:hAnsi="Arial" w:cs="Arial"/>
          <w:sz w:val="20"/>
          <w:szCs w:val="26"/>
        </w:rPr>
      </w:pPr>
      <w:r w:rsidRPr="007D0CCB">
        <w:rPr>
          <w:rFonts w:ascii="Arial" w:hAnsi="Arial" w:cs="Arial"/>
          <w:b/>
          <w:bCs/>
          <w:sz w:val="20"/>
        </w:rPr>
        <w:t>VI. KẾ HOẠCH TỔ CHỨC THỰC HIỆN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1. Tổ chức lựa chọn nhà đầu tư (không áp dụng đối với dự án PPP quy định tại khoản 4 Điều 11 của Luật PPP)</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Tên bên mời thầu.</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Hình thức lựa chọn nhà đầu tư.</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Thời gian tổng thể và các mốc thời gian dự kiến tổ chức lựa chọn nhà đầu tư (dạng bảng theo dõi tiến độ).</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2. Kế hoạch thực hiện hợp đồng dự án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Đề xuất cơ quan thực hiện việc ký kết và thực hiện hợp đồng.</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Thời gian đàm phán và ký kết hợp đồng dự án với nhà đầu tư, doanh nghiệp dự án; đóng tài chính của dự án và hợp đồng dự án bắt đầu có hiệu lực.</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Thời gian thực hiện hợp đồng dự án (bao gồm thời điểm chấm dứt hợp đồng dự án). Trường hợp dự án có cấu phần xây dựng, xác định cụ thể tiến độ xây dựng công trình, thời gian vận hành và chuyển giao công trình.</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 Trường hợp dự án phải phân kỳ để giảm sự phức tạp của việc đầu tư hoặc tăng tính khả thi về tài chính và sự hấp dẫn của dự án, BCNCKT phân tích nguyên nhân, dự kiến kế hoạch phân kỳ và trình bày các phương pháp thực hiện.</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3. Nguyên tắc xử lý các chi phí trong quá trình chuẩn bị dự án do nhà đầu tư lập báo cáo kinh tế</w:t>
      </w:r>
      <w:r>
        <w:rPr>
          <w:rFonts w:ascii="Arial" w:hAnsi="Arial" w:cs="Arial"/>
          <w:sz w:val="20"/>
          <w:szCs w:val="20"/>
        </w:rPr>
        <w:t xml:space="preserve"> </w:t>
      </w:r>
      <w:r w:rsidRPr="007D0CCB">
        <w:rPr>
          <w:rFonts w:ascii="Arial" w:hAnsi="Arial" w:cs="Arial"/>
          <w:sz w:val="20"/>
          <w:szCs w:val="20"/>
        </w:rPr>
        <w:t>-</w:t>
      </w:r>
      <w:r>
        <w:rPr>
          <w:rFonts w:ascii="Arial" w:hAnsi="Arial" w:cs="Arial"/>
          <w:sz w:val="20"/>
          <w:szCs w:val="20"/>
        </w:rPr>
        <w:t xml:space="preserve"> </w:t>
      </w:r>
      <w:r w:rsidRPr="007D0CCB">
        <w:rPr>
          <w:rFonts w:ascii="Arial" w:hAnsi="Arial" w:cs="Arial"/>
          <w:sz w:val="20"/>
          <w:szCs w:val="20"/>
        </w:rPr>
        <w:t>kỹ thuật đầu tư xây dựng như sau:</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a) Trường hợp báo cáo kinh tế - kỹ thuật đầu tư xây dựng không được phê duyệt hoặc không lựa chọn được nhà đầu tư thực hiện dự án, nhà đầu tư chịu mọi rủi ro, chi phí;</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b) Trường hợp sau khi tổ chức lựa chọn nhà đầu tư, nhà đầu tư đề xuất dự án không được lựa chọn, chi phí lập báo cáo đề xuất chủ trương đầu tư, báo cáo kinh tế - kỹ thuật đầu tư xây dựng sẽ do nhà đầu tư được lựa chọn hoàn trả cho nhà đầu tư đề xuất.</w:t>
      </w:r>
    </w:p>
    <w:p w:rsidR="003F7A5E" w:rsidRPr="007D0CCB" w:rsidRDefault="003F7A5E" w:rsidP="003F7A5E">
      <w:pPr>
        <w:spacing w:before="120"/>
        <w:rPr>
          <w:rFonts w:ascii="Arial" w:hAnsi="Arial" w:cs="Arial"/>
          <w:sz w:val="20"/>
          <w:szCs w:val="26"/>
        </w:rPr>
      </w:pPr>
      <w:r w:rsidRPr="007D0CCB">
        <w:rPr>
          <w:rFonts w:ascii="Arial" w:hAnsi="Arial" w:cs="Arial"/>
          <w:sz w:val="20"/>
          <w:szCs w:val="20"/>
        </w:rPr>
        <w:t>Trường hợp cần thiết, cơ quan, đơn vị tiếp nhận hồ sơ của nhà đầu tư ký kết văn bản thỏa thuận với nhà đầu tư lập báo cáo kinh tế - kỹ thuật đầu tư xây dựng về các nguyên tắc nêu tại mục này.</w:t>
      </w:r>
    </w:p>
    <w:p w:rsidR="003F7A5E" w:rsidRPr="007D0CCB" w:rsidRDefault="003F7A5E" w:rsidP="003F7A5E">
      <w:pPr>
        <w:spacing w:before="120"/>
        <w:rPr>
          <w:rFonts w:ascii="Arial" w:hAnsi="Arial" w:cs="Arial"/>
          <w:sz w:val="20"/>
          <w:szCs w:val="26"/>
        </w:rPr>
      </w:pPr>
      <w:r w:rsidRPr="007D0CCB">
        <w:rPr>
          <w:rFonts w:ascii="Arial" w:hAnsi="Arial" w:cs="Arial"/>
          <w:b/>
          <w:bCs/>
          <w:sz w:val="20"/>
        </w:rPr>
        <w:t>Đ. KẾT LUẬN VÀ KIẾN NGHỊ</w:t>
      </w:r>
    </w:p>
    <w:p w:rsidR="00C912DE" w:rsidRDefault="003F7A5E" w:rsidP="003F7A5E">
      <w:r w:rsidRPr="007D0CCB">
        <w:rPr>
          <w:rFonts w:ascii="Arial" w:hAnsi="Arial" w:cs="Arial"/>
          <w:sz w:val="20"/>
          <w:szCs w:val="20"/>
        </w:rPr>
        <w:t>Trình bày các nội dung kết luận chính của BCKTKT đã được phân tích ở trên, phù hợp, khả thi để triển khai đầu tư theo phương thức PPP. Th</w:t>
      </w:r>
      <w:bookmarkStart w:id="2" w:name="_GoBack"/>
      <w:bookmarkEnd w:id="2"/>
    </w:p>
    <w:sectPr w:rsidR="00C9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5E"/>
    <w:rsid w:val="003F7A5E"/>
    <w:rsid w:val="00C9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3CE05-68A5-40D7-A236-66F9FDAC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A5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2025-09-15T00:52:00Z</dcterms:created>
  <dcterms:modified xsi:type="dcterms:W3CDTF">2025-09-15T00:52:00Z</dcterms:modified>
</cp:coreProperties>
</file>