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AA5509" w:rsidRPr="00AA5509" w:rsidP="00AA550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AA550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 4B</w:t>
      </w:r>
    </w:p>
    <w:p w:rsidR="00AA5509" w:rsidRPr="00AA5509" w:rsidP="00AA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AA550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CỘNG HOÀ XÃ HỘI CHỦ NGHĨA VIỆT NAM</w:t>
      </w:r>
    </w:p>
    <w:p w:rsidR="00AA5509" w:rsidRPr="00AA5509" w:rsidP="00AA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AA550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Độc lập - Tự do - Hạnh phúc</w:t>
      </w:r>
    </w:p>
    <w:p w:rsidR="00AA5509" w:rsidRPr="00AA5509" w:rsidP="00AA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AA550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2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5" type="#_x0000_t32" style="height:0;margin-left:137.7pt;margin-top:4.15pt;mso-height-percent:0;mso-height-relative:page;mso-width-percent:0;mso-width-relative:page;mso-wrap-distance-bottom:0;mso-wrap-distance-left:9pt;mso-wrap-distance-right:9pt;mso-wrap-distance-top:0;mso-wrap-style:square;position:absolute;visibility:visible;width:177.75pt;z-index:251659264"/>
            </w:pict>
          </mc:Fallback>
        </mc:AlternateContent>
      </w:r>
    </w:p>
    <w:p w:rsidR="00AA5509" w:rsidRPr="00AA5509" w:rsidP="00AA550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it-IT"/>
        </w:rPr>
        <w:t>_____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/>
        </w:rPr>
        <w:t>, ngày___ tháng___năm___</w:t>
      </w:r>
    </w:p>
    <w:p w:rsidR="00AA5509" w:rsidRPr="00AA5509" w:rsidP="00AA550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bookmarkStart w:id="0" w:name="_Toc255029530"/>
      <w:r w:rsidRPr="00AA550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BIÊN BẢN THƯƠNG THẢO HỢP ĐỒNG</w:t>
      </w:r>
    </w:p>
    <w:p w:rsidR="00AA5509" w:rsidRPr="00AA5509" w:rsidP="00AA550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</w:pPr>
      <w:r w:rsidRPr="00AA5509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(đối với gói thầu mua sắm hàng hóa, xây lắp, phi tư vấn, </w:t>
      </w:r>
      <w:r w:rsidRPr="00AA5509">
        <w:rPr>
          <w:rFonts w:ascii="Times New Roman" w:eastAsia="Times New Roman" w:hAnsi="Times New Roman" w:cs="Times New Roman"/>
          <w:sz w:val="28"/>
          <w:szCs w:val="28"/>
          <w:lang w:val="it-IT"/>
        </w:rPr>
        <w:t>EPC, EP, EC, PC</w:t>
      </w:r>
      <w:r w:rsidRPr="00AA5509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>)</w:t>
      </w:r>
    </w:p>
    <w:p w:rsidR="00AA5509" w:rsidRPr="00AA5509" w:rsidP="00AA5509">
      <w:pPr>
        <w:keepNext/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</w:pPr>
      <w:bookmarkEnd w:id="0"/>
      <w:r w:rsidRPr="00AA550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Gói thầu:</w:t>
      </w:r>
      <w:r w:rsidRPr="00AA5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 xml:space="preserve"> ____[ghi tên gói thầu]</w:t>
      </w:r>
    </w:p>
    <w:p w:rsidR="00AA5509" w:rsidRPr="00AA5509" w:rsidP="00AA550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AA550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Số:  ________/__________              </w:t>
      </w:r>
    </w:p>
    <w:p w:rsidR="00AA5509" w:rsidRPr="00AA5509" w:rsidP="00AA5509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AA5509"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  <w:t xml:space="preserve">Căn cứ pháp lý: [nêu các căn cứ pháp lý liên quan đến gói thầu như: Luật Đấu thầu số 22/2023/QH15 được sửa đổi bổ sung tại Luật số 57/2024/QH15 và Luật số 90/2025/QH15; Nghị định.../2025-NĐ-CP và văn bản quy định về chức năng, nhiệm vụ và cơ cấu tổ chức; văn bản phê duyệt dự án, KHLCNT; các văn bản liên quan đến gói thầu...]. </w:t>
      </w:r>
    </w:p>
    <w:p w:rsidR="00AA5509" w:rsidRPr="00AA5509" w:rsidP="00AA5509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AA5509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Hôm nay, ngày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AA5509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AA5509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AA5509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  tại địa chỉ: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 _________</w:t>
      </w:r>
      <w:r w:rsidRPr="00AA5509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, chúng tôi, đại diện cho các bên thương thảo hợp đồng, gồm có: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Chủ đầu tư: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AA550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AA5509"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  <w:t>[ghi tên Chủ đầu tư]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Chức vụ: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Fax: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Nhà thầu: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 xml:space="preserve">_________ </w:t>
      </w:r>
      <w:r w:rsidRPr="00AA5509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[ghi tên nhà thầu]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ab/>
      </w: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Chức vụ: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AA5509" w:rsidRPr="00AA5509" w:rsidP="00AA5509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AA5509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Fax: </w:t>
      </w:r>
      <w:r w:rsidRPr="00AA5509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AA5509" w:rsidRPr="00AA5509" w:rsidP="00AA5509">
      <w:pPr>
        <w:tabs>
          <w:tab w:val="left" w:pos="567"/>
        </w:tabs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</w:pPr>
      <w:r w:rsidRPr="00AA5509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  <w:t>Hai bên đã thương thảo</w:t>
      </w:r>
      <w:r w:rsidRPr="00AA5509">
        <w:rPr>
          <w:rFonts w:ascii="Times New Roman" w:eastAsia="Times New Roman" w:hAnsi="Times New Roman" w:cs="Times New Roman"/>
          <w:spacing w:val="-8"/>
          <w:sz w:val="28"/>
          <w:szCs w:val="28"/>
          <w:vertAlign w:val="superscript"/>
          <w:lang w:val="sv-SE" w:eastAsia="ja-JP"/>
        </w:rPr>
        <w:t>(1)</w:t>
      </w:r>
      <w:r w:rsidRPr="00AA5509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 xml:space="preserve"> và thống nhất những nội dung trong hợp đồng như sau:</w:t>
      </w:r>
      <w:r w:rsidRPr="00AA5509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</w:r>
    </w:p>
    <w:p w:rsidR="00AA5509" w:rsidRPr="00AA5509" w:rsidP="00AA5509">
      <w:pPr>
        <w:widowControl w:val="0"/>
        <w:tabs>
          <w:tab w:val="left" w:pos="720"/>
        </w:tabs>
        <w:spacing w:before="80" w:after="80" w:line="240" w:lineRule="auto"/>
        <w:ind w:firstLine="6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a)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Thương thảo về n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hững nội dung chưa đủ chi tiết, chưa rõ hoặc chưa phù hợp, thống nhất giữa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E-HSMT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và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E-HSDT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giữa các nội dung khác nhau trong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E-HSDT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có thể dẫn đến các phát sinh, tranh chấp hoặc ảnh hưởng đến trách nhiệm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của các bên trong quá trình thực hiện hợp đồng;</w:t>
      </w:r>
    </w:p>
    <w:p w:rsidR="00AA5509" w:rsidRPr="00AA5509" w:rsidP="00AA5509">
      <w:pPr>
        <w:widowControl w:val="0"/>
        <w:tabs>
          <w:tab w:val="left" w:pos="720"/>
        </w:tabs>
        <w:spacing w:before="80" w:after="80" w:line="240" w:lineRule="auto"/>
        <w:ind w:firstLine="6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b) Thương thảo về các đề xuất thay đổi hoặc phương án kỹ thuật thay thế của nhà thầu nếu trong E-HSMT có quy định cho phép nhà thầu chào phương án kỹ thuật thay thế tại Mục 12.1 E-BDL;</w:t>
      </w:r>
    </w:p>
    <w:p w:rsidR="00AA5509" w:rsidRPr="00AA5509" w:rsidP="00AA5509">
      <w:pPr>
        <w:tabs>
          <w:tab w:val="left" w:pos="567"/>
        </w:tabs>
        <w:spacing w:before="80" w:after="80" w:line="276" w:lineRule="auto"/>
        <w:jc w:val="both"/>
        <w:rPr>
          <w:rFonts w:ascii=".VnArial" w:eastAsia="Times New Roman" w:hAnsi=".VnArial" w:cs="Times New Roman"/>
          <w:i/>
          <w:iCs/>
          <w:sz w:val="28"/>
          <w:szCs w:val="28"/>
          <w:lang w:val="vi-VN" w:eastAsia="ja-JP"/>
        </w:rPr>
      </w:pPr>
      <w:r w:rsidRPr="00AA5509">
        <w:rPr>
          <w:rFonts w:ascii=".VnArial" w:eastAsia="Times New Roman" w:hAnsi=".VnArial" w:cs="Times New Roman"/>
          <w:i/>
          <w:iCs/>
          <w:sz w:val="28"/>
          <w:szCs w:val="28"/>
          <w:lang w:val="vi-VN" w:eastAsia="ja-JP"/>
        </w:rPr>
        <w:tab/>
        <w:t>c) Nhân sự chủ chốt;</w:t>
      </w:r>
    </w:p>
    <w:p w:rsidR="00AA5509" w:rsidRPr="00AA5509" w:rsidP="00AA5509">
      <w:pPr>
        <w:tabs>
          <w:tab w:val="left" w:pos="567"/>
        </w:tabs>
        <w:spacing w:before="80" w:after="80" w:line="276" w:lineRule="auto"/>
        <w:ind w:firstLine="618"/>
        <w:jc w:val="both"/>
        <w:rPr>
          <w:rFonts w:ascii=".VnArial" w:eastAsia="Times New Roman" w:hAnsi=".VnArial" w:cs="Times New Roman"/>
          <w:i/>
          <w:iCs/>
          <w:sz w:val="28"/>
          <w:szCs w:val="28"/>
          <w:lang w:val="vi-VN" w:eastAsia="ja-JP"/>
        </w:rPr>
      </w:pP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d) Các vấn đề phát sinh trong quá trình lựa chọn nhà thầu (nếu có) nhằm mục tiêu hoàn thiện các nội dung chi tiết của gói thầu;</w:t>
      </w:r>
    </w:p>
    <w:p w:rsidR="00AA5509" w:rsidRPr="00AA5509" w:rsidP="00AA5509">
      <w:pPr>
        <w:tabs>
          <w:tab w:val="left" w:pos="567"/>
        </w:tabs>
        <w:spacing w:before="80" w:after="80" w:line="276" w:lineRule="auto"/>
        <w:ind w:firstLine="6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</w:pP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đ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) Th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ươ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ng thảo về giá trong tr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ư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 xml:space="preserve">ờng hợp giá 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đ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ề nghị trúng thầu v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ư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 xml:space="preserve">ợt giá gói thầu 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đư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 xml:space="preserve">ợc duyệt 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đ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ối với ph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ươ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 xml:space="preserve">ng pháp dựa trên kỹ thuật 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đ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ể làm c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ơ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 xml:space="preserve"> sở xét duyệt trúng thầu theo quy 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đ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 xml:space="preserve">ịnh tại 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Đ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 xml:space="preserve">iều 61 của Luật </w:t>
      </w:r>
      <w:r w:rsidRPr="00AA5509">
        <w:rPr>
          <w:rFonts w:ascii="Times New Roman" w:eastAsia="Times New Roman" w:hAnsi="Times New Roman" w:cs="Times New Roman" w:hint="eastAsia"/>
          <w:i/>
          <w:iCs/>
          <w:sz w:val="28"/>
          <w:szCs w:val="28"/>
          <w:lang w:val="vi-VN" w:eastAsia="ja-JP"/>
        </w:rPr>
        <w:t>Đ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ấu thầu;</w:t>
      </w:r>
    </w:p>
    <w:p w:rsidR="00AA5509" w:rsidRPr="00AA5509" w:rsidP="00AA5509">
      <w:pPr>
        <w:tabs>
          <w:tab w:val="left" w:pos="567"/>
        </w:tabs>
        <w:spacing w:before="80" w:after="80" w:line="276" w:lineRule="auto"/>
        <w:ind w:firstLine="618"/>
        <w:jc w:val="both"/>
        <w:rPr>
          <w:rFonts w:ascii=".VnArial" w:eastAsia="Times New Roman" w:hAnsi=".VnArial" w:cs="Times New Roman"/>
          <w:i/>
          <w:iCs/>
          <w:sz w:val="28"/>
          <w:szCs w:val="28"/>
          <w:lang w:eastAsia="ja-JP"/>
        </w:rPr>
      </w:pP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e) Thương thảo về các sai sót không nghiêm trọng;</w:t>
      </w:r>
    </w:p>
    <w:p w:rsidR="00AA5509" w:rsidRPr="00AA5509" w:rsidP="00AA5509">
      <w:pPr>
        <w:tabs>
          <w:tab w:val="left" w:pos="567"/>
        </w:tabs>
        <w:spacing w:before="80" w:after="80" w:line="276" w:lineRule="auto"/>
        <w:ind w:firstLine="618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vi-VN" w:eastAsia="ja-JP"/>
        </w:rPr>
      </w:pP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eastAsia="ja-JP"/>
        </w:rPr>
        <w:t>g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) Thương thảo về các nội dung cần thiết khác.</w:t>
      </w:r>
    </w:p>
    <w:p w:rsidR="00AA5509" w:rsidRPr="00AA5509" w:rsidP="00AA5509">
      <w:pPr>
        <w:tabs>
          <w:tab w:val="left" w:pos="567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AA5509">
        <w:rPr>
          <w:rFonts w:ascii="Times New Roman" w:eastAsia="Times New Roman" w:hAnsi="Times New Roman" w:cs="Times New Roman"/>
          <w:noProof/>
          <w:sz w:val="28"/>
          <w:szCs w:val="28"/>
          <w:lang w:val="sv-SE" w:eastAsia="ja-JP"/>
        </w:rPr>
        <w:t xml:space="preserve">Việc </w:t>
      </w:r>
      <w:r w:rsidRPr="00AA5509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t</w:t>
      </w:r>
      <w:r w:rsidRPr="00AA5509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hương thảo hợp đồng kết thúc vào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AA5509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ngày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AA5509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AA5509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___. </w:t>
      </w:r>
      <w:r w:rsidRPr="00AA5509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Biên bản thương thảo h</w:t>
      </w:r>
      <w:r w:rsidRPr="00AA5509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 xml:space="preserve">ợp đồng được lập thành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AA5509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bản, Chủ đầu tư</w:t>
      </w:r>
      <w:r w:rsidRPr="00AA550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 giữ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AA550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bản, nhà thầu giữ </w:t>
      </w:r>
      <w:r w:rsidRPr="00AA5509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AA5509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>bản, các biên bản có giá trị pháp lý như nhau./.</w:t>
      </w:r>
    </w:p>
    <w:tbl>
      <w:tblPr>
        <w:tblW w:w="10167" w:type="dxa"/>
        <w:jc w:val="center"/>
        <w:tblLook w:val="01E0"/>
      </w:tblPr>
      <w:tblGrid>
        <w:gridCol w:w="10167"/>
      </w:tblGrid>
      <w:tr w:rsidTr="00332740">
        <w:tblPrEx>
          <w:tblW w:w="10167" w:type="dxa"/>
          <w:jc w:val="center"/>
          <w:tblLook w:val="01E0"/>
        </w:tblPrEx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/>
            </w:tblPr>
            <w:tblGrid>
              <w:gridCol w:w="4933"/>
              <w:gridCol w:w="5018"/>
            </w:tblGrid>
            <w:tr w:rsidTr="00332740">
              <w:tblPrEx>
                <w:tblW w:w="9951" w:type="dxa"/>
                <w:jc w:val="center"/>
                <w:tblLook w:val="01E0"/>
              </w:tblPrEx>
              <w:trPr>
                <w:jc w:val="center"/>
              </w:trPr>
              <w:tc>
                <w:tcPr>
                  <w:tcW w:w="4933" w:type="dxa"/>
                </w:tcPr>
                <w:p w:rsidR="00AA5509" w:rsidRPr="00AA5509" w:rsidP="00AA5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AA55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CHỦ ĐẦU TƯ</w:t>
                  </w:r>
                </w:p>
                <w:p w:rsidR="00AA5509" w:rsidRPr="00AA5509" w:rsidP="00AA5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AA550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AA5509" w:rsidRPr="00AA5509" w:rsidP="00AA5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AA550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NHÀ THẦU</w:t>
                  </w:r>
                </w:p>
                <w:p w:rsidR="00AA5509" w:rsidRPr="00AA5509" w:rsidP="00AA5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AA5509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AA5509" w:rsidRPr="00AA5509" w:rsidP="00AA55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</w:p>
        </w:tc>
      </w:tr>
    </w:tbl>
    <w:p w:rsidR="00AA5509" w:rsidRPr="00AA5509" w:rsidP="00AA5509">
      <w:pPr>
        <w:widowControl w:val="0"/>
        <w:tabs>
          <w:tab w:val="left" w:pos="851"/>
        </w:tabs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de-DE"/>
        </w:rPr>
      </w:pPr>
      <w:r w:rsidRPr="00AA5509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de-DE"/>
        </w:rPr>
        <w:t>Ghi chú:</w:t>
      </w:r>
    </w:p>
    <w:p w:rsidR="00AA5509" w:rsidRPr="00AA5509" w:rsidP="00AA5509">
      <w:pPr>
        <w:spacing w:after="0" w:line="240" w:lineRule="auto"/>
        <w:ind w:firstLine="7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A5509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(1) </w:t>
      </w:r>
      <w:r w:rsidRPr="00AA550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Nguyên tắc thương thảo hợp đồng</w:t>
      </w:r>
      <w:r w:rsidRPr="00AA5509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phải tuân thủ theo quy định trong E-HSMT, Luật Đấu thầu, Nghị định số 214/2025/NĐ-CP.</w:t>
      </w:r>
    </w:p>
    <w:p w:rsidR="00AA5509" w:rsidRPr="00AA5509" w:rsidP="00AA5509">
      <w:pPr>
        <w:tabs>
          <w:tab w:val="left" w:pos="25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A5509"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</w:p>
    <w:p w:rsidR="002C2269" w:rsidP="00AA5509">
      <w:bookmarkStart w:id="1" w:name="_GoBack"/>
      <w:bookmarkEnd w:id="1"/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2025-08-18T07:21:00Z</dcterms:created>
  <dcterms:modified xsi:type="dcterms:W3CDTF">2025-08-18T07:21:00Z</dcterms:modified>
</cp:coreProperties>
</file>