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Ind w:w="108" w:type="dxa"/>
        <w:tblLook w:val="0000"/>
      </w:tblPr>
      <w:tblGrid>
        <w:gridCol w:w="3119"/>
        <w:gridCol w:w="5920"/>
      </w:tblGrid>
      <w:tr w:rsidR="00CF4C38" w:rsidRPr="00A25B08" w:rsidTr="00CF4C38">
        <w:tc>
          <w:tcPr>
            <w:tcW w:w="3119" w:type="dxa"/>
          </w:tcPr>
          <w:p w:rsidR="00CF4C38" w:rsidRPr="001155BB" w:rsidRDefault="00CF4C38" w:rsidP="00176A29">
            <w:pPr>
              <w:widowControl w:val="0"/>
              <w:jc w:val="center"/>
              <w:rPr>
                <w:rFonts w:eastAsia="Calibri"/>
                <w:b/>
                <w:bCs/>
                <w:sz w:val="26"/>
                <w:szCs w:val="26"/>
                <w:lang w:val="nl-NL"/>
              </w:rPr>
            </w:pPr>
            <w:r>
              <w:rPr>
                <w:rFonts w:eastAsia="Calibri"/>
                <w:b/>
                <w:bCs/>
                <w:lang w:val="nl-NL"/>
              </w:rPr>
              <w:t xml:space="preserve">   </w:t>
            </w:r>
            <w:r w:rsidRPr="001155BB">
              <w:rPr>
                <w:rFonts w:eastAsia="Calibri"/>
                <w:b/>
                <w:bCs/>
                <w:sz w:val="26"/>
                <w:szCs w:val="26"/>
                <w:lang w:val="nl-NL"/>
              </w:rPr>
              <w:t xml:space="preserve">BỘ TÀI CHÍNH </w:t>
            </w:r>
          </w:p>
        </w:tc>
        <w:tc>
          <w:tcPr>
            <w:tcW w:w="5920" w:type="dxa"/>
          </w:tcPr>
          <w:p w:rsidR="00CF4C38" w:rsidRPr="001155BB" w:rsidRDefault="00CF4C38" w:rsidP="00176A29">
            <w:pPr>
              <w:widowControl w:val="0"/>
              <w:jc w:val="center"/>
              <w:rPr>
                <w:rFonts w:eastAsia="Calibri"/>
                <w:b/>
                <w:bCs/>
                <w:sz w:val="26"/>
                <w:szCs w:val="26"/>
                <w:lang w:val="nl-NL"/>
              </w:rPr>
            </w:pPr>
            <w:r w:rsidRPr="001155BB">
              <w:rPr>
                <w:rFonts w:eastAsia="Calibri"/>
                <w:b/>
                <w:bCs/>
                <w:sz w:val="26"/>
                <w:szCs w:val="26"/>
                <w:lang w:val="nl-NL"/>
              </w:rPr>
              <w:t>CỘNG HOÀ XÃ HỘI CHỦ NGHĨA VIỆT NAM</w:t>
            </w:r>
          </w:p>
        </w:tc>
      </w:tr>
      <w:tr w:rsidR="00CF4C38" w:rsidRPr="002A232E" w:rsidTr="00CF4C38">
        <w:trPr>
          <w:trHeight w:val="143"/>
        </w:trPr>
        <w:tc>
          <w:tcPr>
            <w:tcW w:w="3119" w:type="dxa"/>
          </w:tcPr>
          <w:p w:rsidR="00CF4C38" w:rsidRPr="00435382" w:rsidRDefault="00CF4C38" w:rsidP="00CF4C38">
            <w:pPr>
              <w:widowControl w:val="0"/>
              <w:jc w:val="center"/>
              <w:rPr>
                <w:rFonts w:eastAsia="Calibri"/>
                <w:bCs/>
                <w:lang w:val="nl-NL"/>
              </w:rPr>
            </w:pPr>
            <w:r w:rsidRPr="00435382">
              <w:rPr>
                <w:bCs/>
                <w:lang w:val="nl-NL"/>
              </w:rPr>
              <w:t>–––––</w:t>
            </w:r>
          </w:p>
        </w:tc>
        <w:tc>
          <w:tcPr>
            <w:tcW w:w="5920" w:type="dxa"/>
          </w:tcPr>
          <w:p w:rsidR="00CF4C38" w:rsidRPr="008C3CD8" w:rsidRDefault="00CF4C38" w:rsidP="00176A29">
            <w:pPr>
              <w:widowControl w:val="0"/>
              <w:jc w:val="center"/>
              <w:rPr>
                <w:rFonts w:eastAsia="Calibri"/>
                <w:b/>
                <w:bCs/>
                <w:sz w:val="28"/>
                <w:szCs w:val="28"/>
              </w:rPr>
            </w:pPr>
            <w:r w:rsidRPr="008C3CD8">
              <w:rPr>
                <w:rFonts w:eastAsia="Calibri"/>
                <w:b/>
                <w:bCs/>
                <w:sz w:val="28"/>
                <w:szCs w:val="28"/>
              </w:rPr>
              <w:t xml:space="preserve">Độc lập </w:t>
            </w:r>
            <w:r w:rsidRPr="008C3CD8">
              <w:rPr>
                <w:rFonts w:eastAsia="Calibri"/>
                <w:bCs/>
                <w:sz w:val="28"/>
                <w:szCs w:val="28"/>
              </w:rPr>
              <w:t>–</w:t>
            </w:r>
            <w:r w:rsidRPr="008C3CD8">
              <w:rPr>
                <w:rFonts w:eastAsia="Calibri"/>
                <w:b/>
                <w:bCs/>
                <w:sz w:val="28"/>
                <w:szCs w:val="28"/>
              </w:rPr>
              <w:t xml:space="preserve"> Tự do </w:t>
            </w:r>
            <w:r w:rsidRPr="008C3CD8">
              <w:rPr>
                <w:rFonts w:eastAsia="Calibri"/>
                <w:bCs/>
                <w:sz w:val="28"/>
                <w:szCs w:val="28"/>
              </w:rPr>
              <w:t>–</w:t>
            </w:r>
            <w:r w:rsidRPr="008C3CD8">
              <w:rPr>
                <w:rFonts w:eastAsia="Calibri"/>
                <w:b/>
                <w:bCs/>
                <w:sz w:val="28"/>
                <w:szCs w:val="28"/>
              </w:rPr>
              <w:t xml:space="preserve"> Hạnh phúc</w:t>
            </w:r>
          </w:p>
        </w:tc>
      </w:tr>
      <w:tr w:rsidR="00CF4C38" w:rsidRPr="002A232E" w:rsidTr="00CF4C38">
        <w:tc>
          <w:tcPr>
            <w:tcW w:w="3119" w:type="dxa"/>
          </w:tcPr>
          <w:p w:rsidR="00CF4C38" w:rsidRPr="008C3CD8" w:rsidRDefault="00CF4C38" w:rsidP="00176A29">
            <w:pPr>
              <w:widowControl w:val="0"/>
              <w:jc w:val="center"/>
              <w:rPr>
                <w:rFonts w:eastAsia="Calibri"/>
                <w:sz w:val="26"/>
              </w:rPr>
            </w:pPr>
          </w:p>
        </w:tc>
        <w:tc>
          <w:tcPr>
            <w:tcW w:w="5920" w:type="dxa"/>
          </w:tcPr>
          <w:p w:rsidR="00CF4C38" w:rsidRPr="008C3CD8" w:rsidRDefault="007C5CEF" w:rsidP="00176A29">
            <w:pPr>
              <w:widowControl w:val="0"/>
              <w:jc w:val="center"/>
              <w:rPr>
                <w:rFonts w:eastAsia="Calibri"/>
              </w:rPr>
            </w:pPr>
            <w:r w:rsidRPr="007C5CEF">
              <w:rPr>
                <w:rFonts w:eastAsia="Calibri"/>
                <w:bCs/>
                <w:noProof/>
              </w:rPr>
              <w:pict>
                <v:shapetype id="_x0000_t32" coordsize="21600,21600" o:spt="32" o:oned="t" path="m,l21600,21600e" filled="f">
                  <v:path arrowok="t" fillok="f" o:connecttype="none"/>
                  <o:lock v:ext="edit" shapetype="t"/>
                </v:shapetype>
                <v:shape id="_x0000_s1030" type="#_x0000_t32" style="position:absolute;left:0;text-align:left;margin-left:54.3pt;margin-top:.75pt;width:174pt;height:0;z-index:251663360;mso-position-horizontal-relative:text;mso-position-vertical-relative:text" o:connectortype="straight"/>
              </w:pict>
            </w:r>
          </w:p>
        </w:tc>
      </w:tr>
      <w:tr w:rsidR="00CF4C38" w:rsidRPr="00A25B08" w:rsidTr="00CF4C38">
        <w:tc>
          <w:tcPr>
            <w:tcW w:w="3119" w:type="dxa"/>
          </w:tcPr>
          <w:p w:rsidR="00CF4C38" w:rsidRPr="006E2FE8" w:rsidRDefault="00CF4C38" w:rsidP="00DC58CD">
            <w:pPr>
              <w:widowControl w:val="0"/>
              <w:jc w:val="center"/>
              <w:rPr>
                <w:rFonts w:eastAsia="Calibri"/>
                <w:lang w:val="nl-NL"/>
              </w:rPr>
            </w:pPr>
            <w:r w:rsidRPr="00435382">
              <w:rPr>
                <w:rFonts w:eastAsia="Calibri"/>
                <w:sz w:val="26"/>
                <w:lang w:val="nl-NL"/>
              </w:rPr>
              <w:t>Số:</w:t>
            </w:r>
            <w:r>
              <w:rPr>
                <w:b/>
                <w:sz w:val="26"/>
                <w:lang w:val="nl-NL"/>
              </w:rPr>
              <w:t xml:space="preserve">      </w:t>
            </w:r>
            <w:r w:rsidRPr="00E3712D">
              <w:rPr>
                <w:sz w:val="26"/>
                <w:lang w:val="nl-NL"/>
              </w:rPr>
              <w:t>/</w:t>
            </w:r>
            <w:r w:rsidRPr="00AD1816">
              <w:rPr>
                <w:sz w:val="26"/>
                <w:lang w:val="nl-NL"/>
              </w:rPr>
              <w:t>20</w:t>
            </w:r>
            <w:r>
              <w:rPr>
                <w:sz w:val="26"/>
                <w:lang w:val="nl-NL"/>
              </w:rPr>
              <w:t>2</w:t>
            </w:r>
            <w:r w:rsidR="00DC58CD">
              <w:rPr>
                <w:sz w:val="26"/>
                <w:lang w:val="nl-NL"/>
              </w:rPr>
              <w:t>5</w:t>
            </w:r>
            <w:r>
              <w:rPr>
                <w:rFonts w:eastAsia="Calibri"/>
                <w:sz w:val="26"/>
                <w:lang w:val="nl-NL"/>
              </w:rPr>
              <w:t>/TT-</w:t>
            </w:r>
            <w:r w:rsidRPr="00435382">
              <w:rPr>
                <w:rFonts w:eastAsia="Calibri"/>
                <w:sz w:val="26"/>
                <w:lang w:val="nl-NL"/>
              </w:rPr>
              <w:t>BTC</w:t>
            </w:r>
          </w:p>
        </w:tc>
        <w:tc>
          <w:tcPr>
            <w:tcW w:w="5920" w:type="dxa"/>
          </w:tcPr>
          <w:p w:rsidR="00CF4C38" w:rsidRPr="006C725B" w:rsidRDefault="00CF4C38" w:rsidP="00176A29">
            <w:pPr>
              <w:pStyle w:val="Heading7"/>
              <w:keepNext w:val="0"/>
              <w:widowControl w:val="0"/>
              <w:rPr>
                <w:rFonts w:ascii="Times New Roman" w:hAnsi="Times New Roman"/>
                <w:lang w:val="nl-NL"/>
              </w:rPr>
            </w:pPr>
            <w:r w:rsidRPr="006C725B">
              <w:rPr>
                <w:rFonts w:ascii="Times New Roman" w:hAnsi="Times New Roman"/>
                <w:lang w:val="nl-NL"/>
              </w:rPr>
              <w:t>Hà Nội, ngày</w:t>
            </w:r>
            <w:r>
              <w:rPr>
                <w:rFonts w:ascii="Times New Roman" w:hAnsi="Times New Roman"/>
                <w:lang w:val="nl-NL"/>
              </w:rPr>
              <w:t xml:space="preserve">     </w:t>
            </w:r>
            <w:r w:rsidRPr="006C725B">
              <w:rPr>
                <w:rFonts w:ascii="Times New Roman" w:hAnsi="Times New Roman"/>
                <w:lang w:val="nl-NL"/>
              </w:rPr>
              <w:t xml:space="preserve"> tháng</w:t>
            </w:r>
            <w:r>
              <w:rPr>
                <w:rFonts w:ascii="Times New Roman" w:hAnsi="Times New Roman"/>
                <w:lang w:val="nl-NL"/>
              </w:rPr>
              <w:t xml:space="preserve">     </w:t>
            </w:r>
            <w:r w:rsidRPr="006C725B">
              <w:rPr>
                <w:rFonts w:ascii="Times New Roman" w:hAnsi="Times New Roman"/>
                <w:lang w:val="nl-NL"/>
              </w:rPr>
              <w:t xml:space="preserve"> năm 20</w:t>
            </w:r>
            <w:r>
              <w:rPr>
                <w:rFonts w:ascii="Times New Roman" w:hAnsi="Times New Roman"/>
                <w:lang w:val="nl-NL"/>
              </w:rPr>
              <w:t>2</w:t>
            </w:r>
            <w:r w:rsidR="00DC58CD">
              <w:rPr>
                <w:rFonts w:ascii="Times New Roman" w:hAnsi="Times New Roman"/>
                <w:lang w:val="nl-NL"/>
              </w:rPr>
              <w:t>5</w:t>
            </w:r>
          </w:p>
        </w:tc>
      </w:tr>
    </w:tbl>
    <w:p w:rsidR="00412EBE" w:rsidRPr="009548A7" w:rsidRDefault="007C5CEF" w:rsidP="00412EBE">
      <w:pPr>
        <w:jc w:val="center"/>
        <w:rPr>
          <w:b/>
          <w:bCs/>
          <w:sz w:val="28"/>
          <w:szCs w:val="28"/>
          <w:lang w:val="nl-NL"/>
        </w:rPr>
      </w:pPr>
      <w:r>
        <w:rPr>
          <w:b/>
          <w:bCs/>
          <w:noProof/>
          <w:sz w:val="28"/>
          <w:szCs w:val="28"/>
        </w:rPr>
        <w:pict>
          <v:rect id="_x0000_s1032" style="position:absolute;left:0;text-align:left;margin-left:-45.7pt;margin-top:13pt;width:77.65pt;height:20pt;z-index:251664384;mso-position-horizontal-relative:text;mso-position-vertical-relative:text">
            <v:textbox>
              <w:txbxContent>
                <w:p w:rsidR="00CF4C38" w:rsidRPr="00AC429B" w:rsidRDefault="00CF4C38" w:rsidP="00CF4C38">
                  <w:pPr>
                    <w:rPr>
                      <w:b/>
                      <w:sz w:val="22"/>
                      <w:szCs w:val="22"/>
                    </w:rPr>
                  </w:pPr>
                  <w:r w:rsidRPr="00AC429B">
                    <w:rPr>
                      <w:b/>
                      <w:sz w:val="22"/>
                      <w:szCs w:val="22"/>
                    </w:rPr>
                    <w:t>DỰ THẢ</w:t>
                  </w:r>
                  <w:r>
                    <w:rPr>
                      <w:b/>
                      <w:sz w:val="22"/>
                      <w:szCs w:val="22"/>
                    </w:rPr>
                    <w:t>O 1</w:t>
                  </w:r>
                </w:p>
              </w:txbxContent>
            </v:textbox>
          </v:rect>
        </w:pict>
      </w:r>
    </w:p>
    <w:p w:rsidR="00A122A6" w:rsidRPr="009548A7" w:rsidRDefault="00A122A6" w:rsidP="009548A7">
      <w:pPr>
        <w:spacing w:before="240"/>
        <w:jc w:val="center"/>
        <w:rPr>
          <w:b/>
          <w:bCs/>
          <w:sz w:val="28"/>
          <w:szCs w:val="28"/>
          <w:lang w:val="nl-NL"/>
        </w:rPr>
      </w:pPr>
    </w:p>
    <w:p w:rsidR="00207CD8" w:rsidRPr="009548A7" w:rsidRDefault="00207CD8" w:rsidP="000447DA">
      <w:pPr>
        <w:jc w:val="center"/>
        <w:rPr>
          <w:b/>
          <w:bCs/>
          <w:sz w:val="28"/>
          <w:szCs w:val="28"/>
          <w:lang w:val="nl-NL"/>
        </w:rPr>
      </w:pPr>
      <w:r w:rsidRPr="009548A7">
        <w:rPr>
          <w:b/>
          <w:bCs/>
          <w:sz w:val="28"/>
          <w:szCs w:val="28"/>
          <w:lang w:val="nl-NL"/>
        </w:rPr>
        <w:t>THÔNG TƯ</w:t>
      </w:r>
    </w:p>
    <w:p w:rsidR="00EE2D23" w:rsidRPr="009548A7" w:rsidRDefault="00EE2D23" w:rsidP="000447DA">
      <w:pPr>
        <w:jc w:val="center"/>
        <w:rPr>
          <w:b/>
          <w:sz w:val="28"/>
          <w:szCs w:val="28"/>
          <w:lang w:val="nl-NL"/>
        </w:rPr>
      </w:pPr>
      <w:r w:rsidRPr="009548A7">
        <w:rPr>
          <w:b/>
          <w:bCs/>
          <w:sz w:val="28"/>
          <w:szCs w:val="28"/>
          <w:lang w:val="nl-NL"/>
        </w:rPr>
        <w:t xml:space="preserve">Quy </w:t>
      </w:r>
      <w:r w:rsidRPr="009548A7">
        <w:rPr>
          <w:b/>
          <w:sz w:val="28"/>
          <w:szCs w:val="28"/>
          <w:lang w:val="nl-NL"/>
        </w:rPr>
        <w:t xml:space="preserve">định mức </w:t>
      </w:r>
      <w:r w:rsidR="00236B48" w:rsidRPr="009548A7">
        <w:rPr>
          <w:b/>
          <w:sz w:val="28"/>
          <w:szCs w:val="28"/>
          <w:lang w:val="nl-NL"/>
        </w:rPr>
        <w:t>thu, chế độ thu, nộp, quản lý và</w:t>
      </w:r>
      <w:r w:rsidR="00F71309" w:rsidRPr="009548A7">
        <w:rPr>
          <w:b/>
          <w:sz w:val="28"/>
          <w:szCs w:val="28"/>
          <w:lang w:val="nl-NL"/>
        </w:rPr>
        <w:t xml:space="preserve"> </w:t>
      </w:r>
      <w:r w:rsidRPr="009548A7">
        <w:rPr>
          <w:b/>
          <w:sz w:val="28"/>
          <w:szCs w:val="28"/>
          <w:lang w:val="nl-NL"/>
        </w:rPr>
        <w:t>sử dụng</w:t>
      </w:r>
    </w:p>
    <w:p w:rsidR="00EE2D23" w:rsidRPr="009548A7" w:rsidRDefault="00EE2D23" w:rsidP="000447DA">
      <w:pPr>
        <w:jc w:val="center"/>
        <w:rPr>
          <w:b/>
          <w:sz w:val="28"/>
          <w:szCs w:val="28"/>
          <w:lang w:val="nl-NL"/>
        </w:rPr>
      </w:pPr>
      <w:r w:rsidRPr="009548A7">
        <w:rPr>
          <w:b/>
          <w:sz w:val="28"/>
          <w:szCs w:val="28"/>
          <w:lang w:val="nl-NL"/>
        </w:rPr>
        <w:t>phí thẩm định phê duyệt thiết kế</w:t>
      </w:r>
      <w:r w:rsidR="00FB4F92" w:rsidRPr="009548A7">
        <w:rPr>
          <w:b/>
          <w:sz w:val="28"/>
          <w:szCs w:val="28"/>
          <w:lang w:val="nl-NL"/>
        </w:rPr>
        <w:t xml:space="preserve"> </w:t>
      </w:r>
      <w:r w:rsidRPr="009548A7">
        <w:rPr>
          <w:b/>
          <w:sz w:val="28"/>
          <w:szCs w:val="28"/>
          <w:lang w:val="nl-NL"/>
        </w:rPr>
        <w:t>phòng cháy và chữa cháy</w:t>
      </w:r>
      <w:r w:rsidR="00CF4C38">
        <w:rPr>
          <w:b/>
          <w:i/>
          <w:sz w:val="28"/>
          <w:szCs w:val="28"/>
          <w:lang w:val="nl-NL"/>
        </w:rPr>
        <w:t xml:space="preserve"> </w:t>
      </w:r>
    </w:p>
    <w:p w:rsidR="00207CD8" w:rsidRPr="009548A7" w:rsidRDefault="007C5CEF" w:rsidP="000447DA">
      <w:pPr>
        <w:widowControl w:val="0"/>
        <w:jc w:val="center"/>
        <w:rPr>
          <w:b/>
          <w:bCs/>
          <w:sz w:val="28"/>
          <w:szCs w:val="28"/>
          <w:lang w:val="nl-NL"/>
        </w:rPr>
      </w:pPr>
      <w:r>
        <w:rPr>
          <w:b/>
          <w:bCs/>
          <w:noProof/>
          <w:sz w:val="28"/>
          <w:szCs w:val="28"/>
        </w:rPr>
        <w:pict>
          <v:line id="_x0000_s1033" style="position:absolute;left:0;text-align:left;z-index:251665408" from="169.1pt,9.95pt" to="268.1pt,9.95pt"/>
        </w:pict>
      </w:r>
    </w:p>
    <w:p w:rsidR="00A122A6" w:rsidRPr="009548A7" w:rsidRDefault="00A122A6" w:rsidP="009548A7">
      <w:pPr>
        <w:widowControl w:val="0"/>
        <w:tabs>
          <w:tab w:val="left" w:pos="54"/>
        </w:tabs>
        <w:spacing w:before="120"/>
        <w:ind w:firstLine="720"/>
        <w:jc w:val="both"/>
        <w:rPr>
          <w:bCs/>
          <w:sz w:val="28"/>
          <w:szCs w:val="28"/>
          <w:lang w:val="nl-NL"/>
        </w:rPr>
      </w:pPr>
    </w:p>
    <w:p w:rsidR="00430FC2" w:rsidRPr="009548A7" w:rsidRDefault="00417C0E" w:rsidP="00EB6670">
      <w:pPr>
        <w:widowControl w:val="0"/>
        <w:spacing w:before="120"/>
        <w:ind w:firstLine="720"/>
        <w:jc w:val="both"/>
        <w:rPr>
          <w:bCs/>
          <w:i/>
          <w:sz w:val="28"/>
          <w:szCs w:val="28"/>
          <w:lang w:val="nl-NL"/>
        </w:rPr>
      </w:pPr>
      <w:r w:rsidRPr="009548A7">
        <w:rPr>
          <w:bCs/>
          <w:i/>
          <w:sz w:val="28"/>
          <w:szCs w:val="28"/>
          <w:lang w:val="nl-NL"/>
        </w:rPr>
        <w:t xml:space="preserve">Căn cứ Luật </w:t>
      </w:r>
      <w:r w:rsidR="008D6727" w:rsidRPr="009548A7">
        <w:rPr>
          <w:bCs/>
          <w:i/>
          <w:sz w:val="28"/>
          <w:szCs w:val="28"/>
          <w:lang w:val="nl-NL"/>
        </w:rPr>
        <w:t>p</w:t>
      </w:r>
      <w:r w:rsidR="000D62F6" w:rsidRPr="009548A7">
        <w:rPr>
          <w:bCs/>
          <w:i/>
          <w:sz w:val="28"/>
          <w:szCs w:val="28"/>
          <w:lang w:val="nl-NL"/>
        </w:rPr>
        <w:t xml:space="preserve">hí và lệ phí </w:t>
      </w:r>
      <w:r w:rsidR="00430FC2" w:rsidRPr="009548A7">
        <w:rPr>
          <w:bCs/>
          <w:i/>
          <w:sz w:val="28"/>
          <w:szCs w:val="28"/>
          <w:lang w:val="nl-NL"/>
        </w:rPr>
        <w:t>ngày 25 tháng 11 năm 2015;</w:t>
      </w:r>
    </w:p>
    <w:p w:rsidR="00CF4C38" w:rsidRDefault="0051174A" w:rsidP="00CF4C38">
      <w:pPr>
        <w:widowControl w:val="0"/>
        <w:spacing w:before="120"/>
        <w:ind w:firstLine="720"/>
        <w:jc w:val="both"/>
        <w:rPr>
          <w:bCs/>
          <w:i/>
          <w:sz w:val="28"/>
          <w:szCs w:val="28"/>
          <w:lang w:val="nl-NL"/>
        </w:rPr>
      </w:pPr>
      <w:r w:rsidRPr="009548A7">
        <w:rPr>
          <w:bCs/>
          <w:i/>
          <w:sz w:val="28"/>
          <w:szCs w:val="28"/>
          <w:lang w:val="nl-NL"/>
        </w:rPr>
        <w:t xml:space="preserve">Căn cứ Luật </w:t>
      </w:r>
      <w:r w:rsidR="008D6727" w:rsidRPr="009548A7">
        <w:rPr>
          <w:bCs/>
          <w:i/>
          <w:sz w:val="28"/>
          <w:szCs w:val="28"/>
          <w:lang w:val="nl-NL"/>
        </w:rPr>
        <w:t>n</w:t>
      </w:r>
      <w:r w:rsidR="000D62F6" w:rsidRPr="009548A7">
        <w:rPr>
          <w:bCs/>
          <w:i/>
          <w:sz w:val="28"/>
          <w:szCs w:val="28"/>
          <w:lang w:val="nl-NL"/>
        </w:rPr>
        <w:t xml:space="preserve">gân sách nhà nước </w:t>
      </w:r>
      <w:r w:rsidR="00430FC2" w:rsidRPr="009548A7">
        <w:rPr>
          <w:bCs/>
          <w:i/>
          <w:sz w:val="28"/>
          <w:szCs w:val="28"/>
          <w:lang w:val="nl-NL"/>
        </w:rPr>
        <w:t>ngày 25 tháng 6 năm 2015;</w:t>
      </w:r>
    </w:p>
    <w:p w:rsidR="00CF4C38" w:rsidRPr="00A25B08" w:rsidRDefault="00CF4C38" w:rsidP="00CF4C38">
      <w:pPr>
        <w:widowControl w:val="0"/>
        <w:spacing w:before="120"/>
        <w:ind w:firstLine="720"/>
        <w:jc w:val="both"/>
        <w:rPr>
          <w:bCs/>
          <w:i/>
          <w:sz w:val="28"/>
          <w:szCs w:val="28"/>
          <w:lang w:val="nl-NL"/>
        </w:rPr>
      </w:pPr>
      <w:r w:rsidRPr="00A25B08">
        <w:rPr>
          <w:bCs/>
          <w:i/>
          <w:sz w:val="28"/>
          <w:szCs w:val="28"/>
          <w:lang w:val="nl-NL"/>
        </w:rPr>
        <w:t>Căn cứ Luật Quản lý thuế ngày 13 tháng 6 năm 2019;</w:t>
      </w:r>
    </w:p>
    <w:p w:rsidR="00CF4C38" w:rsidRPr="00A25B08" w:rsidRDefault="00CF4C38" w:rsidP="00CF4C38">
      <w:pPr>
        <w:widowControl w:val="0"/>
        <w:spacing w:before="120"/>
        <w:ind w:firstLine="720"/>
        <w:jc w:val="both"/>
        <w:rPr>
          <w:bCs/>
          <w:i/>
          <w:sz w:val="28"/>
          <w:szCs w:val="28"/>
          <w:lang w:val="nl-NL"/>
        </w:rPr>
      </w:pPr>
      <w:r w:rsidRPr="00A25B08">
        <w:rPr>
          <w:bCs/>
          <w:i/>
          <w:sz w:val="28"/>
          <w:szCs w:val="28"/>
          <w:lang w:val="nl-NL"/>
        </w:rPr>
        <w:t>Căn cứ Luật Phòng cháy, chữa cháy và cứu nạn, cứu hộ ngày 29 tháng 11 năm 2024;</w:t>
      </w:r>
    </w:p>
    <w:p w:rsidR="00576F60" w:rsidRDefault="00576F60" w:rsidP="00EB6670">
      <w:pPr>
        <w:widowControl w:val="0"/>
        <w:spacing w:before="120"/>
        <w:ind w:firstLine="720"/>
        <w:jc w:val="both"/>
        <w:rPr>
          <w:bCs/>
          <w:i/>
          <w:sz w:val="28"/>
          <w:szCs w:val="28"/>
          <w:lang w:val="nl-NL"/>
        </w:rPr>
      </w:pPr>
      <w:r w:rsidRPr="009548A7">
        <w:rPr>
          <w:bCs/>
          <w:i/>
          <w:sz w:val="28"/>
          <w:szCs w:val="28"/>
          <w:lang w:val="nl-NL"/>
        </w:rPr>
        <w:t xml:space="preserve">Căn cứ Nghị định số 120/2016/NĐ-CP ngày 23 tháng 8 năm 2016 của Chính phủ quy định chi tiết và hướng dẫn thi hành một số điều của Luật </w:t>
      </w:r>
      <w:r w:rsidR="008D6727" w:rsidRPr="009548A7">
        <w:rPr>
          <w:bCs/>
          <w:i/>
          <w:sz w:val="28"/>
          <w:szCs w:val="28"/>
          <w:lang w:val="nl-NL"/>
        </w:rPr>
        <w:t>p</w:t>
      </w:r>
      <w:r w:rsidR="00CF4C38">
        <w:rPr>
          <w:bCs/>
          <w:i/>
          <w:sz w:val="28"/>
          <w:szCs w:val="28"/>
          <w:lang w:val="nl-NL"/>
        </w:rPr>
        <w:t xml:space="preserve">hí và lệ phí; </w:t>
      </w:r>
      <w:r w:rsidR="00CF4C38" w:rsidRPr="00A25B08">
        <w:rPr>
          <w:bCs/>
          <w:i/>
          <w:sz w:val="28"/>
          <w:szCs w:val="28"/>
          <w:lang w:val="nl-NL"/>
        </w:rPr>
        <w:t>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sidR="00233527" w:rsidRPr="00A25B08" w:rsidRDefault="00233527" w:rsidP="00A25B08">
      <w:pPr>
        <w:widowControl w:val="0"/>
        <w:spacing w:before="120"/>
        <w:ind w:firstLine="720"/>
        <w:jc w:val="both"/>
        <w:rPr>
          <w:bCs/>
          <w:i/>
          <w:sz w:val="28"/>
          <w:szCs w:val="28"/>
          <w:lang w:val="nl-NL"/>
        </w:rPr>
      </w:pPr>
      <w:r w:rsidRPr="00A25B08">
        <w:rPr>
          <w:bCs/>
          <w:i/>
          <w:sz w:val="28"/>
          <w:szCs w:val="28"/>
          <w:lang w:val="nl-NL"/>
        </w:rPr>
        <w:t xml:space="preserve">Căn cứ Nghị định số     /2025/NĐ-CP ngày     tháng    năm 2025 của Chính phủ quy định chi tiết một số điều và biện pháp thi hành </w:t>
      </w:r>
      <w:bookmarkStart w:id="0" w:name="tvpllink_vcxpttecjf_1"/>
      <w:r w:rsidRPr="00A25B08">
        <w:rPr>
          <w:bCs/>
          <w:i/>
          <w:sz w:val="28"/>
          <w:szCs w:val="28"/>
          <w:lang w:val="nl-NL"/>
        </w:rPr>
        <w:t>Luật Phòng cháy, chữa cháy</w:t>
      </w:r>
      <w:bookmarkEnd w:id="0"/>
      <w:r w:rsidRPr="00A25B08">
        <w:rPr>
          <w:bCs/>
          <w:i/>
          <w:sz w:val="28"/>
          <w:szCs w:val="28"/>
          <w:lang w:val="nl-NL"/>
        </w:rPr>
        <w:t xml:space="preserve"> và cứu nạn, cứu hộ;</w:t>
      </w:r>
    </w:p>
    <w:p w:rsidR="00CF4C38" w:rsidRPr="00A25B08" w:rsidRDefault="00CF4C38" w:rsidP="00A25B08">
      <w:pPr>
        <w:widowControl w:val="0"/>
        <w:spacing w:before="120"/>
        <w:ind w:firstLine="720"/>
        <w:jc w:val="both"/>
        <w:rPr>
          <w:bCs/>
          <w:i/>
          <w:sz w:val="28"/>
          <w:szCs w:val="28"/>
          <w:lang w:val="nl-NL"/>
        </w:rPr>
      </w:pPr>
      <w:r w:rsidRPr="00A25B08">
        <w:rPr>
          <w:bCs/>
          <w:i/>
          <w:sz w:val="28"/>
          <w:szCs w:val="28"/>
          <w:lang w:val="nl-NL"/>
        </w:rP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sidR="00916D22" w:rsidRDefault="00CF4C38" w:rsidP="00A25B08">
      <w:pPr>
        <w:widowControl w:val="0"/>
        <w:spacing w:before="120"/>
        <w:ind w:firstLine="720"/>
        <w:jc w:val="both"/>
        <w:rPr>
          <w:bCs/>
          <w:i/>
          <w:sz w:val="28"/>
          <w:szCs w:val="28"/>
          <w:lang w:val="nl-NL"/>
        </w:rPr>
      </w:pPr>
      <w:r w:rsidRPr="00A25B08">
        <w:rPr>
          <w:bCs/>
          <w:i/>
          <w:sz w:val="28"/>
          <w:szCs w:val="28"/>
          <w:lang w:val="nl-NL"/>
        </w:rPr>
        <w:t>Căn cứ Nghị định số </w:t>
      </w:r>
      <w:bookmarkStart w:id="1" w:name="tvpllink_iahammrzji"/>
      <w:r w:rsidRPr="00A25B08">
        <w:rPr>
          <w:bCs/>
          <w:i/>
          <w:sz w:val="28"/>
          <w:szCs w:val="28"/>
          <w:lang w:val="nl-NL"/>
        </w:rPr>
        <w:t>11/2020/NĐ-CP</w:t>
      </w:r>
      <w:bookmarkEnd w:id="1"/>
      <w:r w:rsidRPr="00A25B08">
        <w:rPr>
          <w:bCs/>
          <w:i/>
          <w:sz w:val="28"/>
          <w:szCs w:val="28"/>
          <w:lang w:val="nl-NL"/>
        </w:rPr>
        <w:t xml:space="preserve"> ngày 20 tháng 01 năm 2020 của Chính phủ quy định về thủ tục hành chính thuộc lĩnh vực Kho bạc Nhà nước; </w:t>
      </w:r>
    </w:p>
    <w:p w:rsidR="00916D22" w:rsidRPr="00916D22" w:rsidRDefault="00916D22" w:rsidP="00916D22">
      <w:pPr>
        <w:widowControl w:val="0"/>
        <w:spacing w:before="120"/>
        <w:ind w:firstLine="720"/>
        <w:jc w:val="both"/>
        <w:rPr>
          <w:bCs/>
          <w:i/>
          <w:sz w:val="28"/>
          <w:szCs w:val="28"/>
          <w:lang w:val="nl-NL"/>
        </w:rPr>
      </w:pPr>
      <w:r w:rsidRPr="00916D22">
        <w:rPr>
          <w:bCs/>
          <w:i/>
          <w:sz w:val="28"/>
          <w:szCs w:val="28"/>
          <w:lang w:val="nl-NL"/>
        </w:rPr>
        <w:t>Căn cứ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sidR="00CF4C38" w:rsidRPr="00A25B08" w:rsidRDefault="00CF4C38" w:rsidP="00A25B08">
      <w:pPr>
        <w:widowControl w:val="0"/>
        <w:spacing w:before="120"/>
        <w:ind w:firstLine="720"/>
        <w:jc w:val="both"/>
        <w:rPr>
          <w:bCs/>
          <w:i/>
          <w:sz w:val="28"/>
          <w:szCs w:val="28"/>
          <w:lang w:val="nl-NL"/>
        </w:rPr>
      </w:pPr>
      <w:r w:rsidRPr="00A25B08">
        <w:rPr>
          <w:bCs/>
          <w:i/>
          <w:sz w:val="28"/>
          <w:szCs w:val="28"/>
          <w:lang w:val="nl-NL"/>
        </w:rPr>
        <w:t>Căn cứ Nghị định số 29/2025/NĐ-CP ngày 24</w:t>
      </w:r>
      <w:r w:rsidR="00233527" w:rsidRPr="00A25B08">
        <w:rPr>
          <w:bCs/>
          <w:i/>
          <w:sz w:val="28"/>
          <w:szCs w:val="28"/>
          <w:lang w:val="nl-NL"/>
        </w:rPr>
        <w:t xml:space="preserve"> tháng </w:t>
      </w:r>
      <w:r w:rsidRPr="00A25B08">
        <w:rPr>
          <w:bCs/>
          <w:i/>
          <w:sz w:val="28"/>
          <w:szCs w:val="28"/>
          <w:lang w:val="nl-NL"/>
        </w:rPr>
        <w:t>02</w:t>
      </w:r>
      <w:r w:rsidR="00233527" w:rsidRPr="00A25B08">
        <w:rPr>
          <w:bCs/>
          <w:i/>
          <w:sz w:val="28"/>
          <w:szCs w:val="28"/>
          <w:lang w:val="nl-NL"/>
        </w:rPr>
        <w:t xml:space="preserve"> năm </w:t>
      </w:r>
      <w:r w:rsidRPr="00A25B08">
        <w:rPr>
          <w:bCs/>
          <w:i/>
          <w:sz w:val="28"/>
          <w:szCs w:val="28"/>
          <w:lang w:val="nl-NL"/>
        </w:rPr>
        <w:t xml:space="preserve">2025 của Chính phủ quy định chức năng, nhiệm vụ, quyền hạn và cơ cấu tổ chức của </w:t>
      </w:r>
      <w:r w:rsidRPr="00A25B08">
        <w:rPr>
          <w:bCs/>
          <w:i/>
          <w:sz w:val="28"/>
          <w:szCs w:val="28"/>
          <w:lang w:val="nl-NL"/>
        </w:rPr>
        <w:lastRenderedPageBreak/>
        <w:t>Bộ Tài chính;</w:t>
      </w:r>
    </w:p>
    <w:p w:rsidR="0034025C" w:rsidRPr="00A25B08" w:rsidRDefault="008839CE" w:rsidP="00A25B08">
      <w:pPr>
        <w:widowControl w:val="0"/>
        <w:spacing w:before="120"/>
        <w:ind w:firstLine="720"/>
        <w:jc w:val="both"/>
        <w:rPr>
          <w:bCs/>
          <w:i/>
          <w:sz w:val="28"/>
          <w:szCs w:val="28"/>
          <w:lang w:val="nl-NL"/>
        </w:rPr>
      </w:pPr>
      <w:r w:rsidRPr="00A25B08">
        <w:rPr>
          <w:bCs/>
          <w:i/>
          <w:sz w:val="28"/>
          <w:szCs w:val="28"/>
          <w:lang w:val="nl-NL"/>
        </w:rPr>
        <w:t>Theo</w:t>
      </w:r>
      <w:r w:rsidR="007247BD" w:rsidRPr="00A25B08">
        <w:rPr>
          <w:bCs/>
          <w:i/>
          <w:sz w:val="28"/>
          <w:szCs w:val="28"/>
          <w:lang w:val="nl-NL"/>
        </w:rPr>
        <w:t xml:space="preserve"> đề nghị của </w:t>
      </w:r>
      <w:r w:rsidR="00CF4C38" w:rsidRPr="00A25B08">
        <w:rPr>
          <w:bCs/>
          <w:i/>
          <w:sz w:val="28"/>
          <w:szCs w:val="28"/>
          <w:lang w:val="nl-NL"/>
        </w:rPr>
        <w:t>Cục trưởng Cục Quản lý, giám sát chính sách thuế, phí và lệ phí</w:t>
      </w:r>
      <w:r w:rsidR="009C2B2F" w:rsidRPr="00A25B08">
        <w:rPr>
          <w:bCs/>
          <w:i/>
          <w:sz w:val="28"/>
          <w:szCs w:val="28"/>
          <w:lang w:val="nl-NL"/>
        </w:rPr>
        <w:t>,</w:t>
      </w:r>
    </w:p>
    <w:p w:rsidR="00EE2D23" w:rsidRPr="008C3CD8" w:rsidRDefault="00EE2D23" w:rsidP="00EB6670">
      <w:pPr>
        <w:widowControl w:val="0"/>
        <w:spacing w:before="120"/>
        <w:ind w:firstLine="720"/>
        <w:jc w:val="both"/>
        <w:rPr>
          <w:i/>
          <w:iCs/>
          <w:sz w:val="28"/>
          <w:szCs w:val="28"/>
          <w:lang w:val="vi-VN"/>
        </w:rPr>
      </w:pPr>
      <w:r w:rsidRPr="008C3CD8">
        <w:rPr>
          <w:i/>
          <w:iCs/>
          <w:sz w:val="28"/>
          <w:szCs w:val="28"/>
          <w:lang w:val="vi-VN"/>
        </w:rPr>
        <w:t>Bộ trưởng Bộ Tài chính ban hành Thông tư quy định mức thu, chế độ t</w:t>
      </w:r>
      <w:r w:rsidR="00236B48" w:rsidRPr="008C3CD8">
        <w:rPr>
          <w:i/>
          <w:iCs/>
          <w:sz w:val="28"/>
          <w:szCs w:val="28"/>
          <w:lang w:val="vi-VN"/>
        </w:rPr>
        <w:t xml:space="preserve">hu, nộp, quản lý và </w:t>
      </w:r>
      <w:r w:rsidRPr="008C3CD8">
        <w:rPr>
          <w:i/>
          <w:iCs/>
          <w:sz w:val="28"/>
          <w:szCs w:val="28"/>
          <w:lang w:val="vi-VN"/>
        </w:rPr>
        <w:t>sử dụng phí thẩm định phê duyệt thiết kế phòng cháy và chữa cháy</w:t>
      </w:r>
      <w:r w:rsidR="00786E3A" w:rsidRPr="008C3CD8">
        <w:rPr>
          <w:i/>
          <w:iCs/>
          <w:sz w:val="28"/>
          <w:szCs w:val="28"/>
          <w:lang w:val="vi-VN"/>
        </w:rPr>
        <w:t>.</w:t>
      </w:r>
    </w:p>
    <w:p w:rsidR="000B3B9A" w:rsidRPr="008C3CD8" w:rsidRDefault="00207CD8" w:rsidP="00EB6670">
      <w:pPr>
        <w:pStyle w:val="Heading2"/>
        <w:spacing w:before="240"/>
        <w:jc w:val="left"/>
        <w:rPr>
          <w:rFonts w:ascii="Times New Roman" w:hAnsi="Times New Roman"/>
          <w:b/>
          <w:bCs/>
          <w:i w:val="0"/>
          <w:szCs w:val="28"/>
          <w:lang w:val="vi-VN"/>
        </w:rPr>
      </w:pPr>
      <w:r w:rsidRPr="008C3CD8">
        <w:rPr>
          <w:rFonts w:ascii="Times New Roman" w:hAnsi="Times New Roman"/>
          <w:b/>
          <w:bCs/>
          <w:i w:val="0"/>
          <w:szCs w:val="28"/>
          <w:lang w:val="vi-VN"/>
        </w:rPr>
        <w:t xml:space="preserve">Điều 1. </w:t>
      </w:r>
      <w:r w:rsidR="00D55859" w:rsidRPr="008C3CD8">
        <w:rPr>
          <w:rFonts w:ascii="Times New Roman" w:hAnsi="Times New Roman"/>
          <w:b/>
          <w:bCs/>
          <w:i w:val="0"/>
          <w:szCs w:val="28"/>
          <w:lang w:val="vi-VN"/>
        </w:rPr>
        <w:t>Phạm vi điều chỉnh, đối tượng áp dụng</w:t>
      </w:r>
    </w:p>
    <w:p w:rsidR="00BA5051" w:rsidRDefault="00BA5051" w:rsidP="00BA5051">
      <w:pPr>
        <w:spacing w:before="120"/>
        <w:ind w:firstLine="720"/>
        <w:jc w:val="both"/>
        <w:rPr>
          <w:sz w:val="28"/>
          <w:szCs w:val="28"/>
        </w:rPr>
      </w:pPr>
      <w:r w:rsidRPr="00BA5051">
        <w:rPr>
          <w:sz w:val="28"/>
          <w:szCs w:val="28"/>
          <w:lang w:val="vi-VN"/>
        </w:rPr>
        <w:t xml:space="preserve">1. Thông tư này quy định mức thu, chế độ thu, nộp, quản lý và sử dụng phí thẩm định phê duyệt thiết kế phòng cháy và chữa cháy áp dụng cho dự án đầu tư xây dựng công trình, công trình và phương tiện giao thông (sau đây gọi chung là dự án) theo quy định của pháp luật về phòng cháy, chữa cháy và cứu nạn, cứu hộ. </w:t>
      </w:r>
    </w:p>
    <w:p w:rsidR="004A3CF0" w:rsidRPr="004A3CF0" w:rsidRDefault="004A3CF0" w:rsidP="004A3CF0">
      <w:pPr>
        <w:spacing w:before="120"/>
        <w:ind w:firstLine="720"/>
        <w:jc w:val="both"/>
        <w:rPr>
          <w:sz w:val="28"/>
          <w:szCs w:val="28"/>
          <w:lang w:val="vi-VN"/>
        </w:rPr>
      </w:pPr>
      <w:r w:rsidRPr="004A3CF0">
        <w:rPr>
          <w:sz w:val="28"/>
          <w:szCs w:val="28"/>
          <w:lang w:val="vi-VN"/>
        </w:rPr>
        <w:t xml:space="preserve">Đối với nội dung thẩm định thiết kế về </w:t>
      </w:r>
      <w:r>
        <w:rPr>
          <w:sz w:val="28"/>
          <w:szCs w:val="28"/>
        </w:rPr>
        <w:t xml:space="preserve">phòng cháy và chữa cháy </w:t>
      </w:r>
      <w:r w:rsidRPr="004A3CF0">
        <w:rPr>
          <w:sz w:val="28"/>
          <w:szCs w:val="28"/>
          <w:lang w:val="vi-VN"/>
        </w:rPr>
        <w:t xml:space="preserve">được thực hiện trong quá trình thẩm định báo cáo nghiên cứu khả thi, thẩm định thiết kế xây dựng triển khai sau thiết kế cơ sở do cơ quan chuyên môn về xây dựng thực hiện thì thực hiện thu </w:t>
      </w:r>
      <w:r w:rsidR="00EB09F4" w:rsidRPr="004A3CF0">
        <w:rPr>
          <w:sz w:val="28"/>
          <w:szCs w:val="28"/>
          <w:lang w:val="vi-VN"/>
        </w:rPr>
        <w:t>phí thẩm định báo cáo nghiên cứu khả thi đầu tư xây dựng</w:t>
      </w:r>
      <w:r w:rsidR="00EB09F4">
        <w:rPr>
          <w:sz w:val="28"/>
          <w:szCs w:val="28"/>
        </w:rPr>
        <w:t xml:space="preserve"> và </w:t>
      </w:r>
      <w:r w:rsidRPr="004A3CF0">
        <w:rPr>
          <w:sz w:val="28"/>
          <w:szCs w:val="28"/>
          <w:lang w:val="vi-VN"/>
        </w:rPr>
        <w:t xml:space="preserve">phí thẩm định thiết kế xây dựng </w:t>
      </w:r>
      <w:r w:rsidR="00EB09F4">
        <w:rPr>
          <w:sz w:val="28"/>
          <w:szCs w:val="28"/>
          <w:lang w:val="vi-VN"/>
        </w:rPr>
        <w:t>triển khai sau thiết kế cơ sở</w:t>
      </w:r>
      <w:r w:rsidRPr="004A3CF0">
        <w:rPr>
          <w:sz w:val="28"/>
          <w:szCs w:val="28"/>
          <w:lang w:val="vi-VN"/>
        </w:rPr>
        <w:t xml:space="preserve"> theo quy định của pháp luật về phí và lệ phí.</w:t>
      </w:r>
    </w:p>
    <w:p w:rsidR="004A3CF0" w:rsidRPr="00EB09F4" w:rsidRDefault="004A3CF0" w:rsidP="004A3CF0">
      <w:pPr>
        <w:spacing w:before="120"/>
        <w:ind w:firstLine="720"/>
        <w:jc w:val="both"/>
        <w:rPr>
          <w:sz w:val="28"/>
          <w:szCs w:val="28"/>
        </w:rPr>
      </w:pPr>
      <w:r w:rsidRPr="004A3CF0">
        <w:rPr>
          <w:sz w:val="28"/>
          <w:szCs w:val="28"/>
          <w:lang w:val="vi-VN"/>
        </w:rPr>
        <w:t>Đối với nội dung thẩm định thiết kế về</w:t>
      </w:r>
      <w:r w:rsidR="00EB09F4">
        <w:rPr>
          <w:sz w:val="28"/>
          <w:szCs w:val="28"/>
        </w:rPr>
        <w:t xml:space="preserve"> phòng cháy và chữa cháy</w:t>
      </w:r>
      <w:r w:rsidRPr="004A3CF0">
        <w:rPr>
          <w:sz w:val="28"/>
          <w:szCs w:val="28"/>
          <w:lang w:val="vi-VN"/>
        </w:rPr>
        <w:t xml:space="preserve"> được thực hiện trong quá trình thẩm định thiết kế phương tiện do cơ quan đăng kiểm thực hiện thì thực hiện thu giá dịch vụ kiểm định theo quy định của pháp luật về quản lý giá</w:t>
      </w:r>
      <w:r w:rsidR="00EB09F4">
        <w:rPr>
          <w:sz w:val="28"/>
          <w:szCs w:val="28"/>
        </w:rPr>
        <w:t>.</w:t>
      </w:r>
    </w:p>
    <w:p w:rsidR="00EE2D23" w:rsidRPr="009548A7" w:rsidRDefault="000B3B9A" w:rsidP="000447DA">
      <w:pPr>
        <w:pStyle w:val="Heading2"/>
        <w:spacing w:before="120"/>
        <w:rPr>
          <w:rFonts w:ascii="Times New Roman" w:hAnsi="Times New Roman"/>
          <w:i w:val="0"/>
          <w:szCs w:val="28"/>
          <w:lang w:val="pt-BR"/>
        </w:rPr>
      </w:pPr>
      <w:r w:rsidRPr="00A25B08">
        <w:rPr>
          <w:rFonts w:ascii="Times New Roman" w:hAnsi="Times New Roman"/>
          <w:i w:val="0"/>
          <w:szCs w:val="28"/>
          <w:lang w:val="pt-BR"/>
        </w:rPr>
        <w:t xml:space="preserve">2. Thông tư này áp dụng đối với người </w:t>
      </w:r>
      <w:r w:rsidR="00CD7E0C" w:rsidRPr="00A25B08">
        <w:rPr>
          <w:rFonts w:ascii="Times New Roman" w:hAnsi="Times New Roman"/>
          <w:i w:val="0"/>
          <w:szCs w:val="28"/>
          <w:lang w:val="pt-BR"/>
        </w:rPr>
        <w:t>nộp</w:t>
      </w:r>
      <w:r w:rsidR="00D92D60">
        <w:rPr>
          <w:rFonts w:ascii="Times New Roman" w:hAnsi="Times New Roman"/>
          <w:i w:val="0"/>
          <w:szCs w:val="28"/>
          <w:lang w:val="pt-BR"/>
        </w:rPr>
        <w:t xml:space="preserve"> phí</w:t>
      </w:r>
      <w:r w:rsidR="0076521E" w:rsidRPr="00A25B08">
        <w:rPr>
          <w:rFonts w:ascii="Times New Roman" w:hAnsi="Times New Roman"/>
          <w:i w:val="0"/>
          <w:szCs w:val="28"/>
          <w:lang w:val="pt-BR"/>
        </w:rPr>
        <w:t>,</w:t>
      </w:r>
      <w:r w:rsidRPr="00A25B08">
        <w:rPr>
          <w:rFonts w:ascii="Times New Roman" w:hAnsi="Times New Roman"/>
          <w:i w:val="0"/>
          <w:szCs w:val="28"/>
          <w:lang w:val="pt-BR"/>
        </w:rPr>
        <w:t xml:space="preserve"> tổ chức thu </w:t>
      </w:r>
      <w:r w:rsidR="00EE2D23" w:rsidRPr="00A25B08">
        <w:rPr>
          <w:rFonts w:ascii="Times New Roman" w:hAnsi="Times New Roman"/>
          <w:i w:val="0"/>
          <w:szCs w:val="28"/>
          <w:lang w:val="pt-BR"/>
        </w:rPr>
        <w:t>phí thẩm định phê duyệt thiết kế phòng cháy và</w:t>
      </w:r>
      <w:r w:rsidR="00EE2D23" w:rsidRPr="00BC69B7">
        <w:rPr>
          <w:rFonts w:ascii="Times New Roman" w:hAnsi="Times New Roman"/>
          <w:i w:val="0"/>
          <w:szCs w:val="28"/>
          <w:lang w:val="pt-BR"/>
        </w:rPr>
        <w:t xml:space="preserve"> chữa cháy </w:t>
      </w:r>
      <w:r w:rsidR="0076521E" w:rsidRPr="00BC69B7">
        <w:rPr>
          <w:rFonts w:ascii="Times New Roman" w:hAnsi="Times New Roman"/>
          <w:i w:val="0"/>
          <w:szCs w:val="28"/>
          <w:lang w:val="pt-BR"/>
        </w:rPr>
        <w:t xml:space="preserve">và </w:t>
      </w:r>
      <w:r w:rsidR="00D55859" w:rsidRPr="00BC69B7">
        <w:rPr>
          <w:rFonts w:ascii="Times New Roman" w:hAnsi="Times New Roman"/>
          <w:i w:val="0"/>
          <w:szCs w:val="28"/>
          <w:lang w:val="pt-BR"/>
        </w:rPr>
        <w:t>tổ chức</w:t>
      </w:r>
      <w:r w:rsidR="0076521E" w:rsidRPr="00BC69B7">
        <w:rPr>
          <w:rFonts w:ascii="Times New Roman" w:hAnsi="Times New Roman"/>
          <w:i w:val="0"/>
          <w:szCs w:val="28"/>
          <w:lang w:val="pt-BR"/>
        </w:rPr>
        <w:t>, cá nhân khá</w:t>
      </w:r>
      <w:r w:rsidR="0076521E" w:rsidRPr="009548A7">
        <w:rPr>
          <w:rFonts w:ascii="Times New Roman" w:hAnsi="Times New Roman"/>
          <w:i w:val="0"/>
          <w:szCs w:val="28"/>
          <w:lang w:val="pt-BR"/>
        </w:rPr>
        <w:t>c có liên quan đến</w:t>
      </w:r>
      <w:r w:rsidR="00402B51" w:rsidRPr="009548A7">
        <w:rPr>
          <w:rFonts w:ascii="Times New Roman" w:hAnsi="Times New Roman"/>
          <w:i w:val="0"/>
          <w:szCs w:val="28"/>
          <w:lang w:val="pt-BR"/>
        </w:rPr>
        <w:t xml:space="preserve"> thu, nộp, quản lý và sử</w:t>
      </w:r>
      <w:r w:rsidR="009D2C71" w:rsidRPr="009548A7">
        <w:rPr>
          <w:rFonts w:ascii="Times New Roman" w:hAnsi="Times New Roman"/>
          <w:i w:val="0"/>
          <w:szCs w:val="28"/>
          <w:lang w:val="pt-BR"/>
        </w:rPr>
        <w:t xml:space="preserve"> dụng </w:t>
      </w:r>
      <w:r w:rsidR="00EE2D23" w:rsidRPr="009548A7">
        <w:rPr>
          <w:rFonts w:ascii="Times New Roman" w:hAnsi="Times New Roman"/>
          <w:i w:val="0"/>
          <w:szCs w:val="28"/>
          <w:lang w:val="pt-BR"/>
        </w:rPr>
        <w:t>phí thẩm định phê duyệt thiết kế phòng cháy và chữa cháy.</w:t>
      </w:r>
    </w:p>
    <w:p w:rsidR="00F35D75" w:rsidRPr="009548A7" w:rsidRDefault="00CD7E0C" w:rsidP="000447DA">
      <w:pPr>
        <w:pStyle w:val="BodyTextIndent"/>
        <w:spacing w:before="120"/>
        <w:rPr>
          <w:rFonts w:ascii="Times New Roman" w:hAnsi="Times New Roman"/>
          <w:b/>
          <w:bCs/>
          <w:szCs w:val="28"/>
          <w:lang w:val="pt-BR"/>
        </w:rPr>
      </w:pPr>
      <w:r w:rsidRPr="009548A7">
        <w:rPr>
          <w:rFonts w:ascii="Times New Roman" w:hAnsi="Times New Roman"/>
          <w:b/>
          <w:bCs/>
          <w:szCs w:val="28"/>
          <w:lang w:val="pt-BR"/>
        </w:rPr>
        <w:t xml:space="preserve">Điều </w:t>
      </w:r>
      <w:r w:rsidR="008D6DF9">
        <w:rPr>
          <w:rFonts w:ascii="Times New Roman" w:hAnsi="Times New Roman"/>
          <w:b/>
          <w:bCs/>
          <w:szCs w:val="28"/>
          <w:lang w:val="pt-BR"/>
        </w:rPr>
        <w:t>2</w:t>
      </w:r>
      <w:r w:rsidRPr="009548A7">
        <w:rPr>
          <w:rFonts w:ascii="Times New Roman" w:hAnsi="Times New Roman"/>
          <w:b/>
          <w:bCs/>
          <w:szCs w:val="28"/>
          <w:lang w:val="pt-BR"/>
        </w:rPr>
        <w:t>. Người nộp</w:t>
      </w:r>
      <w:r w:rsidR="00F35D75" w:rsidRPr="009548A7">
        <w:rPr>
          <w:rFonts w:ascii="Times New Roman" w:hAnsi="Times New Roman"/>
          <w:b/>
          <w:bCs/>
          <w:szCs w:val="28"/>
          <w:lang w:val="pt-BR"/>
        </w:rPr>
        <w:t xml:space="preserve"> phí</w:t>
      </w:r>
    </w:p>
    <w:p w:rsidR="00307CB0" w:rsidRPr="00A25B08" w:rsidRDefault="00307CB0" w:rsidP="00A25B08">
      <w:pPr>
        <w:pStyle w:val="Heading2"/>
        <w:spacing w:before="120"/>
        <w:rPr>
          <w:rFonts w:ascii="Times New Roman" w:hAnsi="Times New Roman"/>
          <w:i w:val="0"/>
          <w:szCs w:val="28"/>
          <w:lang w:val="pt-BR"/>
        </w:rPr>
      </w:pPr>
      <w:r w:rsidRPr="00A25B08">
        <w:rPr>
          <w:rFonts w:ascii="Times New Roman" w:hAnsi="Times New Roman"/>
          <w:i w:val="0"/>
          <w:szCs w:val="28"/>
          <w:lang w:val="pt-BR"/>
        </w:rPr>
        <w:t xml:space="preserve">Tổ chức, cá nhân khi được cơ quan nhà nước có thẩm quyền cấp văn bản </w:t>
      </w:r>
      <w:r w:rsidR="00777813" w:rsidRPr="00A25B08">
        <w:rPr>
          <w:rFonts w:ascii="Times New Roman" w:hAnsi="Times New Roman"/>
          <w:i w:val="0"/>
          <w:szCs w:val="28"/>
          <w:lang w:val="pt-BR"/>
        </w:rPr>
        <w:t xml:space="preserve">thẩm định thiết kế </w:t>
      </w:r>
      <w:r w:rsidRPr="00A25B08">
        <w:rPr>
          <w:rFonts w:ascii="Times New Roman" w:hAnsi="Times New Roman"/>
          <w:i w:val="0"/>
          <w:szCs w:val="28"/>
          <w:lang w:val="pt-BR"/>
        </w:rPr>
        <w:t>về phòng cháy và chữa cháy</w:t>
      </w:r>
      <w:r w:rsidR="00777813" w:rsidRPr="00A25B08">
        <w:rPr>
          <w:rFonts w:ascii="Times New Roman" w:hAnsi="Times New Roman"/>
          <w:i w:val="0"/>
          <w:szCs w:val="28"/>
          <w:lang w:val="pt-BR"/>
        </w:rPr>
        <w:t xml:space="preserve"> </w:t>
      </w:r>
      <w:r w:rsidRPr="00A25B08">
        <w:rPr>
          <w:rFonts w:ascii="Times New Roman" w:hAnsi="Times New Roman"/>
          <w:i w:val="0"/>
          <w:szCs w:val="28"/>
          <w:lang w:val="pt-BR"/>
        </w:rPr>
        <w:t>phải nộp phí theo quy định tại Thông tư này.</w:t>
      </w:r>
    </w:p>
    <w:p w:rsidR="009626B3" w:rsidRPr="009548A7" w:rsidRDefault="009626B3" w:rsidP="009626B3">
      <w:pPr>
        <w:spacing w:before="120"/>
        <w:ind w:firstLine="720"/>
        <w:jc w:val="both"/>
        <w:rPr>
          <w:b/>
          <w:sz w:val="28"/>
          <w:szCs w:val="28"/>
          <w:lang w:val="pt-BR"/>
        </w:rPr>
      </w:pPr>
      <w:r w:rsidRPr="009548A7">
        <w:rPr>
          <w:b/>
          <w:sz w:val="28"/>
          <w:szCs w:val="28"/>
          <w:lang w:val="pt-BR"/>
        </w:rPr>
        <w:t>Điều</w:t>
      </w:r>
      <w:r>
        <w:rPr>
          <w:b/>
          <w:sz w:val="28"/>
          <w:szCs w:val="28"/>
          <w:lang w:val="pt-BR"/>
        </w:rPr>
        <w:t xml:space="preserve"> 3</w:t>
      </w:r>
      <w:r w:rsidRPr="009548A7">
        <w:rPr>
          <w:b/>
          <w:sz w:val="28"/>
          <w:szCs w:val="28"/>
          <w:lang w:val="pt-BR"/>
        </w:rPr>
        <w:t>. Tổ chức thu phí</w:t>
      </w:r>
    </w:p>
    <w:p w:rsidR="00380940" w:rsidRPr="00A25B08" w:rsidRDefault="00380940" w:rsidP="00A25B08">
      <w:pPr>
        <w:pStyle w:val="Heading2"/>
        <w:spacing w:before="120"/>
        <w:rPr>
          <w:rFonts w:ascii="Times New Roman" w:hAnsi="Times New Roman"/>
          <w:i w:val="0"/>
          <w:szCs w:val="28"/>
          <w:lang w:val="pt-BR"/>
        </w:rPr>
      </w:pPr>
      <w:r w:rsidRPr="00A25B08">
        <w:rPr>
          <w:rFonts w:ascii="Times New Roman" w:hAnsi="Times New Roman"/>
          <w:i w:val="0"/>
          <w:szCs w:val="28"/>
          <w:lang w:val="pt-BR"/>
        </w:rPr>
        <w:t xml:space="preserve">Cơ quan </w:t>
      </w:r>
      <w:r w:rsidR="004E6759" w:rsidRPr="00A25B08">
        <w:rPr>
          <w:rFonts w:ascii="Times New Roman" w:hAnsi="Times New Roman"/>
          <w:i w:val="0"/>
          <w:szCs w:val="28"/>
          <w:lang w:val="pt-BR"/>
        </w:rPr>
        <w:t xml:space="preserve">nhà nước có thẩm quyền </w:t>
      </w:r>
      <w:r w:rsidRPr="00A25B08">
        <w:rPr>
          <w:rFonts w:ascii="Times New Roman" w:hAnsi="Times New Roman"/>
          <w:i w:val="0"/>
          <w:szCs w:val="28"/>
          <w:lang w:val="pt-BR"/>
        </w:rPr>
        <w:t xml:space="preserve">cung cấp dịch vụ thẩm định thiết kế </w:t>
      </w:r>
      <w:r w:rsidR="00527794" w:rsidRPr="00A25B08">
        <w:rPr>
          <w:rFonts w:ascii="Times New Roman" w:hAnsi="Times New Roman"/>
          <w:i w:val="0"/>
          <w:szCs w:val="28"/>
          <w:lang w:val="pt-BR"/>
        </w:rPr>
        <w:t xml:space="preserve">về </w:t>
      </w:r>
      <w:r w:rsidRPr="00A25B08">
        <w:rPr>
          <w:rFonts w:ascii="Times New Roman" w:hAnsi="Times New Roman"/>
          <w:i w:val="0"/>
          <w:szCs w:val="28"/>
          <w:lang w:val="pt-BR"/>
        </w:rPr>
        <w:t>phòng cháy, chữa cháy theo quy định của pháp luật về phòng cháy, chữa cháy và cứu nạn, cứu hộ là tổ chức thu phí theo quy định tại Thông tư này.</w:t>
      </w:r>
    </w:p>
    <w:p w:rsidR="00EE2D23" w:rsidRPr="008C3CD8" w:rsidRDefault="00EE2D23" w:rsidP="00F71309">
      <w:pPr>
        <w:spacing w:before="120"/>
        <w:ind w:firstLine="720"/>
        <w:jc w:val="both"/>
        <w:rPr>
          <w:sz w:val="28"/>
          <w:szCs w:val="28"/>
          <w:lang w:val="sv-SE"/>
        </w:rPr>
      </w:pPr>
      <w:r w:rsidRPr="008C3CD8">
        <w:rPr>
          <w:b/>
          <w:bCs/>
          <w:sz w:val="28"/>
          <w:szCs w:val="28"/>
          <w:lang w:val="sv-SE"/>
        </w:rPr>
        <w:t xml:space="preserve">Điều </w:t>
      </w:r>
      <w:r w:rsidR="009626B3" w:rsidRPr="008C3CD8">
        <w:rPr>
          <w:b/>
          <w:bCs/>
          <w:sz w:val="28"/>
          <w:szCs w:val="28"/>
          <w:lang w:val="sv-SE"/>
        </w:rPr>
        <w:t>4</w:t>
      </w:r>
      <w:r w:rsidRPr="008C3CD8">
        <w:rPr>
          <w:b/>
          <w:bCs/>
          <w:sz w:val="28"/>
          <w:szCs w:val="28"/>
          <w:lang w:val="sv-SE"/>
        </w:rPr>
        <w:t xml:space="preserve">. Phương pháp tính mức thu phí thẩm </w:t>
      </w:r>
      <w:r w:rsidR="009B3F5C" w:rsidRPr="008C3CD8">
        <w:rPr>
          <w:b/>
          <w:bCs/>
          <w:sz w:val="28"/>
          <w:szCs w:val="28"/>
          <w:lang w:val="sv-SE"/>
        </w:rPr>
        <w:t xml:space="preserve">định phê </w:t>
      </w:r>
      <w:r w:rsidRPr="008C3CD8">
        <w:rPr>
          <w:b/>
          <w:bCs/>
          <w:sz w:val="28"/>
          <w:szCs w:val="28"/>
          <w:lang w:val="sv-SE"/>
        </w:rPr>
        <w:t>duyệt</w:t>
      </w:r>
    </w:p>
    <w:p w:rsidR="0096481C" w:rsidRPr="008C3CD8" w:rsidRDefault="00EE2D23" w:rsidP="000447DA">
      <w:pPr>
        <w:spacing w:before="120" w:after="240"/>
        <w:ind w:firstLine="720"/>
        <w:jc w:val="both"/>
        <w:rPr>
          <w:sz w:val="28"/>
          <w:szCs w:val="28"/>
          <w:lang w:val="sv-SE"/>
        </w:rPr>
      </w:pPr>
      <w:r w:rsidRPr="008C3CD8">
        <w:rPr>
          <w:bCs/>
          <w:sz w:val="28"/>
          <w:szCs w:val="28"/>
          <w:lang w:val="sv-SE"/>
        </w:rPr>
        <w:t xml:space="preserve">1. </w:t>
      </w:r>
      <w:r w:rsidRPr="008C3CD8">
        <w:rPr>
          <w:sz w:val="28"/>
          <w:szCs w:val="28"/>
          <w:lang w:val="sv-SE"/>
        </w:rPr>
        <w:t>Mức thu p</w:t>
      </w:r>
      <w:r w:rsidR="00236B48" w:rsidRPr="008C3CD8">
        <w:rPr>
          <w:sz w:val="28"/>
          <w:szCs w:val="28"/>
          <w:lang w:val="sv-SE"/>
        </w:rPr>
        <w:t xml:space="preserve">hí </w:t>
      </w:r>
      <w:r w:rsidR="00C14BEE" w:rsidRPr="00A25B08">
        <w:rPr>
          <w:sz w:val="28"/>
          <w:szCs w:val="28"/>
          <w:lang w:val="pt-BR"/>
        </w:rPr>
        <w:t xml:space="preserve">thẩm </w:t>
      </w:r>
      <w:r w:rsidR="0096481C" w:rsidRPr="00A25B08">
        <w:rPr>
          <w:sz w:val="28"/>
          <w:szCs w:val="28"/>
          <w:lang w:val="pt-BR"/>
        </w:rPr>
        <w:t xml:space="preserve">định phê </w:t>
      </w:r>
      <w:r w:rsidR="00C14BEE" w:rsidRPr="00A25B08">
        <w:rPr>
          <w:sz w:val="28"/>
          <w:szCs w:val="28"/>
          <w:lang w:val="pt-BR"/>
        </w:rPr>
        <w:t>duyệt</w:t>
      </w:r>
      <w:r w:rsidR="00306E8F" w:rsidRPr="008C3CD8">
        <w:rPr>
          <w:sz w:val="28"/>
          <w:szCs w:val="28"/>
          <w:lang w:val="sv-SE"/>
        </w:rPr>
        <w:t xml:space="preserve"> </w:t>
      </w:r>
      <w:r w:rsidR="00FB4F92" w:rsidRPr="008C3CD8">
        <w:rPr>
          <w:sz w:val="28"/>
          <w:szCs w:val="28"/>
          <w:lang w:val="sv-SE"/>
        </w:rPr>
        <w:t>thiết kế</w:t>
      </w:r>
      <w:r w:rsidR="00306E8F" w:rsidRPr="008C3CD8">
        <w:rPr>
          <w:sz w:val="28"/>
          <w:szCs w:val="28"/>
          <w:lang w:val="sv-SE"/>
        </w:rPr>
        <w:t xml:space="preserve"> phòng cháy</w:t>
      </w:r>
      <w:r w:rsidR="00FB4F92" w:rsidRPr="008C3CD8">
        <w:rPr>
          <w:sz w:val="28"/>
          <w:szCs w:val="28"/>
          <w:lang w:val="sv-SE"/>
        </w:rPr>
        <w:t xml:space="preserve"> và chữa cháy (sau đây gọi</w:t>
      </w:r>
      <w:r w:rsidR="00306E8F" w:rsidRPr="008C3CD8">
        <w:rPr>
          <w:sz w:val="28"/>
          <w:szCs w:val="28"/>
          <w:lang w:val="sv-SE"/>
        </w:rPr>
        <w:t xml:space="preserve"> là mức thu phí thẩm duyệt)</w:t>
      </w:r>
      <w:r w:rsidR="00C14BEE" w:rsidRPr="008C3CD8">
        <w:rPr>
          <w:sz w:val="28"/>
          <w:szCs w:val="28"/>
          <w:lang w:val="sv-SE"/>
        </w:rPr>
        <w:t xml:space="preserve"> </w:t>
      </w:r>
      <w:r w:rsidR="00236B48" w:rsidRPr="008C3CD8">
        <w:rPr>
          <w:sz w:val="28"/>
          <w:szCs w:val="28"/>
          <w:lang w:val="sv-SE"/>
        </w:rPr>
        <w:t>đối với dự án</w:t>
      </w:r>
      <w:r w:rsidRPr="008C3CD8">
        <w:rPr>
          <w:sz w:val="28"/>
          <w:szCs w:val="28"/>
          <w:lang w:val="sv-SE"/>
        </w:rPr>
        <w:t xml:space="preserve"> xác định theo công thức sau:</w:t>
      </w:r>
    </w:p>
    <w:tbl>
      <w:tblPr>
        <w:tblW w:w="5000" w:type="pct"/>
        <w:tblBorders>
          <w:top w:val="nil"/>
          <w:bottom w:val="nil"/>
          <w:insideH w:val="nil"/>
          <w:insideV w:val="nil"/>
        </w:tblBorders>
        <w:tblCellMar>
          <w:left w:w="0" w:type="dxa"/>
          <w:right w:w="0" w:type="dxa"/>
        </w:tblCellMar>
        <w:tblLook w:val="04A0"/>
      </w:tblPr>
      <w:tblGrid>
        <w:gridCol w:w="1975"/>
        <w:gridCol w:w="462"/>
        <w:gridCol w:w="3909"/>
        <w:gridCol w:w="709"/>
        <w:gridCol w:w="1902"/>
      </w:tblGrid>
      <w:tr w:rsidR="00A11CB1" w:rsidRPr="008C3BF7" w:rsidTr="00A11CB1">
        <w:trPr>
          <w:trHeight w:val="483"/>
        </w:trPr>
        <w:tc>
          <w:tcPr>
            <w:tcW w:w="1102" w:type="pct"/>
            <w:vMerge w:val="restart"/>
            <w:tcBorders>
              <w:top w:val="nil"/>
              <w:left w:val="nil"/>
              <w:right w:val="nil"/>
              <w:tl2br w:val="nil"/>
              <w:tr2bl w:val="nil"/>
            </w:tcBorders>
            <w:shd w:val="clear" w:color="auto" w:fill="auto"/>
            <w:tcMar>
              <w:top w:w="0" w:type="dxa"/>
              <w:left w:w="108" w:type="dxa"/>
              <w:bottom w:w="0" w:type="dxa"/>
              <w:right w:w="108" w:type="dxa"/>
            </w:tcMar>
            <w:vAlign w:val="center"/>
          </w:tcPr>
          <w:p w:rsidR="00A11CB1" w:rsidRPr="008C3CD8" w:rsidRDefault="00A11CB1" w:rsidP="0096481C">
            <w:pPr>
              <w:jc w:val="center"/>
              <w:rPr>
                <w:sz w:val="28"/>
                <w:szCs w:val="28"/>
                <w:lang w:val="sv-SE"/>
              </w:rPr>
            </w:pPr>
            <w:r w:rsidRPr="008C3CD8">
              <w:rPr>
                <w:sz w:val="28"/>
                <w:szCs w:val="28"/>
                <w:lang w:val="sv-SE"/>
              </w:rPr>
              <w:lastRenderedPageBreak/>
              <w:t>Mức thu phí thẩm duyệt</w:t>
            </w:r>
          </w:p>
        </w:tc>
        <w:tc>
          <w:tcPr>
            <w:tcW w:w="258" w:type="pct"/>
            <w:vMerge w:val="restart"/>
            <w:tcBorders>
              <w:top w:val="nil"/>
              <w:left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rPr>
            </w:pPr>
            <w:r w:rsidRPr="0096481C">
              <w:rPr>
                <w:sz w:val="28"/>
                <w:szCs w:val="28"/>
              </w:rPr>
              <w:t>=</w:t>
            </w:r>
          </w:p>
        </w:tc>
        <w:tc>
          <w:tcPr>
            <w:tcW w:w="2182" w:type="pct"/>
            <w:vMerge w:val="restart"/>
            <w:tcBorders>
              <w:top w:val="nil"/>
              <w:left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rPr>
            </w:pPr>
            <w:r w:rsidRPr="0096481C">
              <w:rPr>
                <w:sz w:val="28"/>
                <w:szCs w:val="28"/>
              </w:rPr>
              <w:t>Tổng mức đầu tư dự án được phê duyệt</w:t>
            </w:r>
          </w:p>
        </w:tc>
        <w:tc>
          <w:tcPr>
            <w:tcW w:w="396" w:type="pct"/>
            <w:vMerge w:val="restart"/>
            <w:tcBorders>
              <w:top w:val="nil"/>
              <w:left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824823">
            <w:pPr>
              <w:jc w:val="center"/>
              <w:rPr>
                <w:sz w:val="28"/>
                <w:szCs w:val="28"/>
              </w:rPr>
            </w:pPr>
            <w:r w:rsidRPr="0096481C">
              <w:rPr>
                <w:sz w:val="28"/>
                <w:szCs w:val="28"/>
              </w:rPr>
              <w:t>x</w:t>
            </w:r>
          </w:p>
        </w:tc>
        <w:tc>
          <w:tcPr>
            <w:tcW w:w="1062" w:type="pct"/>
            <w:vMerge w:val="restart"/>
            <w:tcBorders>
              <w:top w:val="nil"/>
              <w:left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rPr>
            </w:pPr>
            <w:r>
              <w:rPr>
                <w:sz w:val="28"/>
                <w:szCs w:val="28"/>
              </w:rPr>
              <w:t>Tỷ lệ tính phí</w:t>
            </w:r>
          </w:p>
        </w:tc>
      </w:tr>
      <w:tr w:rsidR="00A11CB1" w:rsidRPr="008C3BF7" w:rsidTr="00A11CB1">
        <w:trPr>
          <w:trHeight w:val="483"/>
        </w:trPr>
        <w:tc>
          <w:tcPr>
            <w:tcW w:w="1102" w:type="pct"/>
            <w:vMerge/>
            <w:tcBorders>
              <w:left w:val="nil"/>
              <w:bottom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lang w:val="nl-NL"/>
              </w:rPr>
            </w:pPr>
          </w:p>
        </w:tc>
        <w:tc>
          <w:tcPr>
            <w:tcW w:w="258" w:type="pct"/>
            <w:vMerge/>
            <w:tcBorders>
              <w:left w:val="nil"/>
              <w:bottom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rPr>
            </w:pPr>
          </w:p>
        </w:tc>
        <w:tc>
          <w:tcPr>
            <w:tcW w:w="2182" w:type="pct"/>
            <w:vMerge/>
            <w:tcBorders>
              <w:left w:val="nil"/>
              <w:bottom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rPr>
            </w:pPr>
          </w:p>
        </w:tc>
        <w:tc>
          <w:tcPr>
            <w:tcW w:w="396" w:type="pct"/>
            <w:vMerge/>
            <w:tcBorders>
              <w:left w:val="nil"/>
              <w:bottom w:val="nil"/>
              <w:right w:val="nil"/>
              <w:tl2br w:val="nil"/>
              <w:tr2bl w:val="nil"/>
            </w:tcBorders>
            <w:shd w:val="clear" w:color="auto" w:fill="auto"/>
            <w:tcMar>
              <w:top w:w="0" w:type="dxa"/>
              <w:left w:w="108" w:type="dxa"/>
              <w:bottom w:w="0" w:type="dxa"/>
              <w:right w:w="108" w:type="dxa"/>
            </w:tcMar>
            <w:vAlign w:val="center"/>
          </w:tcPr>
          <w:p w:rsidR="00A11CB1" w:rsidRPr="0096481C" w:rsidRDefault="00A11CB1" w:rsidP="0096481C">
            <w:pPr>
              <w:jc w:val="center"/>
              <w:rPr>
                <w:sz w:val="28"/>
                <w:szCs w:val="28"/>
              </w:rPr>
            </w:pPr>
          </w:p>
        </w:tc>
        <w:tc>
          <w:tcPr>
            <w:tcW w:w="1062" w:type="pct"/>
            <w:vMerge/>
            <w:tcBorders>
              <w:left w:val="nil"/>
              <w:bottom w:val="nil"/>
              <w:right w:val="nil"/>
              <w:tl2br w:val="nil"/>
              <w:tr2bl w:val="nil"/>
            </w:tcBorders>
            <w:shd w:val="clear" w:color="auto" w:fill="auto"/>
            <w:tcMar>
              <w:top w:w="0" w:type="dxa"/>
              <w:left w:w="108" w:type="dxa"/>
              <w:bottom w:w="0" w:type="dxa"/>
              <w:right w:w="108" w:type="dxa"/>
            </w:tcMar>
            <w:vAlign w:val="center"/>
          </w:tcPr>
          <w:p w:rsidR="00A11CB1" w:rsidRDefault="00A11CB1" w:rsidP="0096481C">
            <w:pPr>
              <w:jc w:val="center"/>
              <w:rPr>
                <w:sz w:val="28"/>
                <w:szCs w:val="28"/>
              </w:rPr>
            </w:pPr>
          </w:p>
        </w:tc>
      </w:tr>
    </w:tbl>
    <w:p w:rsidR="00EE2D23" w:rsidRPr="009548A7" w:rsidRDefault="00EE2D23" w:rsidP="000447DA">
      <w:pPr>
        <w:spacing w:before="240"/>
        <w:ind w:firstLine="720"/>
        <w:jc w:val="both"/>
        <w:rPr>
          <w:sz w:val="28"/>
          <w:szCs w:val="28"/>
          <w:lang w:val="nl-NL"/>
        </w:rPr>
      </w:pPr>
      <w:r w:rsidRPr="009548A7">
        <w:rPr>
          <w:spacing w:val="-2"/>
          <w:sz w:val="28"/>
          <w:szCs w:val="28"/>
        </w:rPr>
        <w:t>Trong đó:</w:t>
      </w:r>
      <w:r w:rsidRPr="009548A7">
        <w:rPr>
          <w:sz w:val="28"/>
          <w:szCs w:val="28"/>
          <w:lang w:val="nl-NL"/>
        </w:rPr>
        <w:t xml:space="preserve"> </w:t>
      </w:r>
    </w:p>
    <w:p w:rsidR="00EE2D23" w:rsidRPr="009548A7" w:rsidRDefault="00EE2D23" w:rsidP="00F71309">
      <w:pPr>
        <w:spacing w:before="120"/>
        <w:ind w:firstLine="720"/>
        <w:jc w:val="both"/>
        <w:rPr>
          <w:sz w:val="28"/>
          <w:szCs w:val="28"/>
          <w:lang w:val="nl-NL"/>
        </w:rPr>
      </w:pPr>
      <w:r w:rsidRPr="009548A7">
        <w:rPr>
          <w:sz w:val="28"/>
          <w:szCs w:val="28"/>
          <w:lang w:val="nl-NL"/>
        </w:rPr>
        <w:t xml:space="preserve">- </w:t>
      </w:r>
      <w:r w:rsidRPr="009548A7">
        <w:rPr>
          <w:sz w:val="28"/>
          <w:szCs w:val="28"/>
          <w:lang w:val="vi-VN"/>
        </w:rPr>
        <w:t>Tổng mức đầu tư</w:t>
      </w:r>
      <w:r w:rsidRPr="008F1532">
        <w:rPr>
          <w:sz w:val="28"/>
          <w:szCs w:val="28"/>
          <w:lang w:val="nl-NL"/>
        </w:rPr>
        <w:t xml:space="preserve"> dự án được xác định theo quy </w:t>
      </w:r>
      <w:r w:rsidRPr="00A25B08">
        <w:rPr>
          <w:sz w:val="28"/>
          <w:szCs w:val="28"/>
          <w:lang w:val="pt-BR"/>
        </w:rPr>
        <w:t xml:space="preserve">định tại </w:t>
      </w:r>
      <w:r w:rsidR="00824823" w:rsidRPr="00A25B08">
        <w:rPr>
          <w:sz w:val="28"/>
          <w:szCs w:val="28"/>
          <w:lang w:val="pt-BR"/>
        </w:rPr>
        <w:t xml:space="preserve">Nghị định số 10/2021/NĐ-CP ngày 09/02/2021 của Chính phủ về quản lý chi phí đầu tư xây dựng </w:t>
      </w:r>
      <w:r w:rsidRPr="00A25B08">
        <w:rPr>
          <w:sz w:val="28"/>
          <w:szCs w:val="28"/>
          <w:lang w:val="pt-BR"/>
        </w:rPr>
        <w:t>trừ c</w:t>
      </w:r>
      <w:r w:rsidRPr="009548A7">
        <w:rPr>
          <w:sz w:val="28"/>
          <w:szCs w:val="28"/>
          <w:lang w:val="nl-NL"/>
        </w:rPr>
        <w:t>hi phí bồi thường giải phóng mặt bằng, hỗ trợ, tái định cư, chi phí sử dụng đất (tính toán trước thuế).</w:t>
      </w:r>
    </w:p>
    <w:p w:rsidR="00EE2D23" w:rsidRDefault="00EE2D23" w:rsidP="00F71309">
      <w:pPr>
        <w:spacing w:before="120"/>
        <w:ind w:firstLine="720"/>
        <w:jc w:val="both"/>
        <w:rPr>
          <w:sz w:val="28"/>
          <w:szCs w:val="28"/>
          <w:lang w:val="nl-NL"/>
        </w:rPr>
      </w:pPr>
      <w:r w:rsidRPr="009548A7">
        <w:rPr>
          <w:sz w:val="28"/>
          <w:szCs w:val="28"/>
          <w:lang w:val="nl-NL"/>
        </w:rPr>
        <w:t xml:space="preserve">- </w:t>
      </w:r>
      <w:r w:rsidRPr="008F1532">
        <w:rPr>
          <w:sz w:val="28"/>
          <w:szCs w:val="28"/>
          <w:lang w:val="nl-NL"/>
        </w:rPr>
        <w:t>Tỷ lệ tính phí</w:t>
      </w:r>
      <w:r w:rsidR="00D92D60">
        <w:rPr>
          <w:sz w:val="28"/>
          <w:szCs w:val="28"/>
          <w:lang w:val="nl-NL"/>
        </w:rPr>
        <w:t xml:space="preserve"> được quy định tại </w:t>
      </w:r>
      <w:r w:rsidRPr="008F1532">
        <w:rPr>
          <w:sz w:val="28"/>
          <w:szCs w:val="28"/>
          <w:lang w:val="nl-NL"/>
        </w:rPr>
        <w:t xml:space="preserve">Biểu mức </w:t>
      </w:r>
      <w:r w:rsidR="00BA11D6" w:rsidRPr="008F1532">
        <w:rPr>
          <w:spacing w:val="-2"/>
          <w:sz w:val="28"/>
          <w:szCs w:val="28"/>
          <w:lang w:val="nl-NL"/>
        </w:rPr>
        <w:t xml:space="preserve">tỷ lệ tính phí </w:t>
      </w:r>
      <w:r w:rsidR="00D92D60">
        <w:rPr>
          <w:sz w:val="28"/>
          <w:szCs w:val="28"/>
          <w:lang w:val="nl-NL"/>
        </w:rPr>
        <w:t>thẩm định phê duyệt thiết kế phòng cháy và chữa cháy ban hành</w:t>
      </w:r>
      <w:r w:rsidR="00BA11D6" w:rsidRPr="008F1532">
        <w:rPr>
          <w:sz w:val="28"/>
          <w:szCs w:val="28"/>
          <w:lang w:val="nl-NL"/>
        </w:rPr>
        <w:t xml:space="preserve"> </w:t>
      </w:r>
      <w:r w:rsidRPr="008F1532">
        <w:rPr>
          <w:sz w:val="28"/>
          <w:szCs w:val="28"/>
          <w:lang w:val="nl-NL"/>
        </w:rPr>
        <w:t>kèm theo Thông tư này.</w:t>
      </w:r>
    </w:p>
    <w:p w:rsidR="00EE2D23" w:rsidRPr="008C3CD8" w:rsidRDefault="00EE2D23" w:rsidP="00F71309">
      <w:pPr>
        <w:spacing w:before="120"/>
        <w:ind w:firstLine="720"/>
        <w:jc w:val="both"/>
        <w:rPr>
          <w:spacing w:val="-2"/>
          <w:sz w:val="28"/>
          <w:szCs w:val="28"/>
          <w:lang w:val="nl-NL"/>
        </w:rPr>
      </w:pPr>
      <w:r w:rsidRPr="009548A7">
        <w:rPr>
          <w:bCs/>
          <w:sz w:val="28"/>
          <w:szCs w:val="28"/>
          <w:lang w:val="nl-NL"/>
        </w:rPr>
        <w:t xml:space="preserve">2. </w:t>
      </w:r>
      <w:r w:rsidRPr="008C3CD8">
        <w:rPr>
          <w:spacing w:val="-2"/>
          <w:sz w:val="28"/>
          <w:szCs w:val="28"/>
          <w:lang w:val="nl-NL"/>
        </w:rPr>
        <w:t xml:space="preserve">Trường hợp dự án có tổng mức đầu tư nằm giữa các khoảng giá trị tổng mức đầu tư của dự án ghi trong </w:t>
      </w:r>
      <w:r w:rsidR="00D92D60" w:rsidRPr="008F1532">
        <w:rPr>
          <w:sz w:val="28"/>
          <w:szCs w:val="28"/>
          <w:lang w:val="nl-NL"/>
        </w:rPr>
        <w:t xml:space="preserve">Biểu mức </w:t>
      </w:r>
      <w:r w:rsidR="00D92D60" w:rsidRPr="008F1532">
        <w:rPr>
          <w:spacing w:val="-2"/>
          <w:sz w:val="28"/>
          <w:szCs w:val="28"/>
          <w:lang w:val="nl-NL"/>
        </w:rPr>
        <w:t xml:space="preserve">tỷ lệ tính phí </w:t>
      </w:r>
      <w:r w:rsidR="00D92D60">
        <w:rPr>
          <w:sz w:val="28"/>
          <w:szCs w:val="28"/>
          <w:lang w:val="nl-NL"/>
        </w:rPr>
        <w:t>thẩm định phê duyệt thiết kế phòng cháy và chữa cháy ban hành</w:t>
      </w:r>
      <w:r w:rsidR="00D92D60" w:rsidRPr="008F1532">
        <w:rPr>
          <w:sz w:val="28"/>
          <w:szCs w:val="28"/>
          <w:lang w:val="nl-NL"/>
        </w:rPr>
        <w:t xml:space="preserve"> kèm theo Thông tư này</w:t>
      </w:r>
      <w:r w:rsidRPr="008C3CD8">
        <w:rPr>
          <w:spacing w:val="-2"/>
          <w:sz w:val="28"/>
          <w:szCs w:val="28"/>
          <w:lang w:val="nl-NL"/>
        </w:rPr>
        <w:t xml:space="preserve"> thì </w:t>
      </w:r>
      <w:r w:rsidRPr="008C3CD8">
        <w:rPr>
          <w:sz w:val="28"/>
          <w:szCs w:val="28"/>
          <w:lang w:val="nl-NL"/>
        </w:rPr>
        <w:t>tỷ lệ tính phí</w:t>
      </w:r>
      <w:r w:rsidRPr="008C3CD8">
        <w:rPr>
          <w:spacing w:val="-2"/>
          <w:sz w:val="28"/>
          <w:szCs w:val="28"/>
          <w:lang w:val="nl-NL"/>
        </w:rPr>
        <w:t xml:space="preserve"> được tính theo công thức sau:</w:t>
      </w:r>
    </w:p>
    <w:tbl>
      <w:tblPr>
        <w:tblW w:w="6379" w:type="dxa"/>
        <w:tblInd w:w="1809" w:type="dxa"/>
        <w:tblLayout w:type="fixed"/>
        <w:tblLook w:val="04A0"/>
      </w:tblPr>
      <w:tblGrid>
        <w:gridCol w:w="1681"/>
        <w:gridCol w:w="1559"/>
        <w:gridCol w:w="3139"/>
      </w:tblGrid>
      <w:tr w:rsidR="00EE2D23" w:rsidRPr="009548A7" w:rsidTr="0065712E">
        <w:trPr>
          <w:trHeight w:val="753"/>
        </w:trPr>
        <w:tc>
          <w:tcPr>
            <w:tcW w:w="1681" w:type="dxa"/>
            <w:vMerge w:val="restart"/>
            <w:vAlign w:val="center"/>
          </w:tcPr>
          <w:p w:rsidR="00EE2D23" w:rsidRPr="009548A7" w:rsidRDefault="00EE2D23" w:rsidP="0065712E">
            <w:pPr>
              <w:spacing w:before="120" w:line="340" w:lineRule="exact"/>
              <w:rPr>
                <w:sz w:val="28"/>
                <w:szCs w:val="28"/>
              </w:rPr>
            </w:pPr>
            <w:r w:rsidRPr="009548A7">
              <w:rPr>
                <w:sz w:val="28"/>
                <w:szCs w:val="28"/>
              </w:rPr>
              <w:t>N</w:t>
            </w:r>
            <w:r w:rsidRPr="009548A7">
              <w:rPr>
                <w:sz w:val="28"/>
                <w:szCs w:val="28"/>
                <w:vertAlign w:val="subscript"/>
              </w:rPr>
              <w:t>it</w:t>
            </w:r>
            <w:r w:rsidRPr="009548A7">
              <w:rPr>
                <w:sz w:val="28"/>
                <w:szCs w:val="28"/>
              </w:rPr>
              <w:t xml:space="preserve"> = N</w:t>
            </w:r>
            <w:r w:rsidRPr="009548A7">
              <w:rPr>
                <w:sz w:val="28"/>
                <w:szCs w:val="28"/>
                <w:vertAlign w:val="subscript"/>
              </w:rPr>
              <w:t>ib</w:t>
            </w:r>
            <w:r w:rsidRPr="009548A7">
              <w:rPr>
                <w:sz w:val="28"/>
                <w:szCs w:val="28"/>
              </w:rPr>
              <w:t xml:space="preserve"> - {</w:t>
            </w:r>
          </w:p>
        </w:tc>
        <w:tc>
          <w:tcPr>
            <w:tcW w:w="1559" w:type="dxa"/>
            <w:tcBorders>
              <w:bottom w:val="single" w:sz="4" w:space="0" w:color="auto"/>
            </w:tcBorders>
            <w:vAlign w:val="center"/>
          </w:tcPr>
          <w:p w:rsidR="00EE2D23" w:rsidRPr="009548A7" w:rsidRDefault="00EE2D23" w:rsidP="0065712E">
            <w:pPr>
              <w:spacing w:before="240" w:line="340" w:lineRule="exact"/>
              <w:jc w:val="center"/>
              <w:rPr>
                <w:sz w:val="28"/>
                <w:szCs w:val="28"/>
              </w:rPr>
            </w:pPr>
            <w:r w:rsidRPr="009548A7">
              <w:rPr>
                <w:sz w:val="28"/>
                <w:szCs w:val="28"/>
              </w:rPr>
              <w:t>N</w:t>
            </w:r>
            <w:r w:rsidRPr="009548A7">
              <w:rPr>
                <w:sz w:val="28"/>
                <w:szCs w:val="28"/>
                <w:vertAlign w:val="subscript"/>
              </w:rPr>
              <w:t>ib</w:t>
            </w:r>
            <w:r w:rsidRPr="009548A7">
              <w:rPr>
                <w:sz w:val="28"/>
                <w:szCs w:val="28"/>
              </w:rPr>
              <w:t xml:space="preserve"> - N</w:t>
            </w:r>
            <w:r w:rsidRPr="009548A7">
              <w:rPr>
                <w:sz w:val="28"/>
                <w:szCs w:val="28"/>
                <w:vertAlign w:val="subscript"/>
              </w:rPr>
              <w:t>ia</w:t>
            </w:r>
          </w:p>
        </w:tc>
        <w:tc>
          <w:tcPr>
            <w:tcW w:w="3139" w:type="dxa"/>
            <w:vMerge w:val="restart"/>
            <w:vAlign w:val="center"/>
          </w:tcPr>
          <w:p w:rsidR="00EE2D23" w:rsidRPr="009548A7" w:rsidRDefault="00EE2D23" w:rsidP="0065712E">
            <w:pPr>
              <w:spacing w:before="120" w:line="340" w:lineRule="exact"/>
              <w:rPr>
                <w:sz w:val="28"/>
                <w:szCs w:val="28"/>
              </w:rPr>
            </w:pPr>
            <w:r w:rsidRPr="009548A7">
              <w:rPr>
                <w:sz w:val="28"/>
                <w:szCs w:val="28"/>
              </w:rPr>
              <w:t>x ( G</w:t>
            </w:r>
            <w:r w:rsidRPr="009548A7">
              <w:rPr>
                <w:sz w:val="28"/>
                <w:szCs w:val="28"/>
                <w:vertAlign w:val="subscript"/>
              </w:rPr>
              <w:t>it</w:t>
            </w:r>
            <w:r w:rsidRPr="009548A7">
              <w:rPr>
                <w:sz w:val="28"/>
                <w:szCs w:val="28"/>
              </w:rPr>
              <w:t xml:space="preserve"> - G</w:t>
            </w:r>
            <w:r w:rsidRPr="009548A7">
              <w:rPr>
                <w:sz w:val="28"/>
                <w:szCs w:val="28"/>
                <w:vertAlign w:val="subscript"/>
              </w:rPr>
              <w:t>ib</w:t>
            </w:r>
            <w:r w:rsidRPr="009548A7">
              <w:rPr>
                <w:sz w:val="28"/>
                <w:szCs w:val="28"/>
              </w:rPr>
              <w:t xml:space="preserve"> ) }</w:t>
            </w:r>
          </w:p>
        </w:tc>
      </w:tr>
      <w:tr w:rsidR="00EE2D23" w:rsidRPr="009548A7" w:rsidTr="0065712E">
        <w:trPr>
          <w:trHeight w:val="472"/>
        </w:trPr>
        <w:tc>
          <w:tcPr>
            <w:tcW w:w="1681" w:type="dxa"/>
            <w:vMerge/>
          </w:tcPr>
          <w:p w:rsidR="00EE2D23" w:rsidRPr="009548A7" w:rsidRDefault="00EE2D23" w:rsidP="0065712E">
            <w:pPr>
              <w:spacing w:before="120" w:line="340" w:lineRule="exact"/>
              <w:jc w:val="both"/>
              <w:rPr>
                <w:sz w:val="28"/>
                <w:szCs w:val="28"/>
              </w:rPr>
            </w:pPr>
          </w:p>
        </w:tc>
        <w:tc>
          <w:tcPr>
            <w:tcW w:w="1559" w:type="dxa"/>
            <w:tcBorders>
              <w:top w:val="single" w:sz="4" w:space="0" w:color="auto"/>
            </w:tcBorders>
            <w:vAlign w:val="center"/>
          </w:tcPr>
          <w:p w:rsidR="00EE2D23" w:rsidRPr="009548A7" w:rsidRDefault="00EE2D23" w:rsidP="0065712E">
            <w:pPr>
              <w:spacing w:before="120" w:line="340" w:lineRule="exact"/>
              <w:jc w:val="center"/>
              <w:rPr>
                <w:sz w:val="28"/>
                <w:szCs w:val="28"/>
              </w:rPr>
            </w:pPr>
            <w:r w:rsidRPr="009548A7">
              <w:rPr>
                <w:sz w:val="28"/>
                <w:szCs w:val="28"/>
              </w:rPr>
              <w:t>G</w:t>
            </w:r>
            <w:r w:rsidRPr="009548A7">
              <w:rPr>
                <w:sz w:val="28"/>
                <w:szCs w:val="28"/>
                <w:vertAlign w:val="subscript"/>
              </w:rPr>
              <w:t>ia</w:t>
            </w:r>
            <w:r w:rsidRPr="009548A7">
              <w:rPr>
                <w:sz w:val="28"/>
                <w:szCs w:val="28"/>
              </w:rPr>
              <w:t xml:space="preserve"> - G</w:t>
            </w:r>
            <w:r w:rsidRPr="009548A7">
              <w:rPr>
                <w:sz w:val="28"/>
                <w:szCs w:val="28"/>
                <w:vertAlign w:val="subscript"/>
              </w:rPr>
              <w:t>ib</w:t>
            </w:r>
          </w:p>
        </w:tc>
        <w:tc>
          <w:tcPr>
            <w:tcW w:w="3139" w:type="dxa"/>
            <w:vMerge/>
          </w:tcPr>
          <w:p w:rsidR="00EE2D23" w:rsidRPr="009548A7" w:rsidRDefault="00EE2D23" w:rsidP="0065712E">
            <w:pPr>
              <w:spacing w:before="120" w:line="340" w:lineRule="exact"/>
              <w:jc w:val="both"/>
              <w:rPr>
                <w:sz w:val="28"/>
                <w:szCs w:val="28"/>
              </w:rPr>
            </w:pPr>
          </w:p>
        </w:tc>
      </w:tr>
    </w:tbl>
    <w:p w:rsidR="00EE2D23" w:rsidRPr="009548A7" w:rsidRDefault="00EE2D23" w:rsidP="000447DA">
      <w:pPr>
        <w:spacing w:before="240"/>
        <w:ind w:firstLine="720"/>
        <w:rPr>
          <w:spacing w:val="-2"/>
          <w:sz w:val="28"/>
          <w:szCs w:val="28"/>
        </w:rPr>
      </w:pPr>
      <w:r w:rsidRPr="009548A7">
        <w:rPr>
          <w:spacing w:val="-2"/>
          <w:sz w:val="28"/>
          <w:szCs w:val="28"/>
        </w:rPr>
        <w:t>Trong đó:</w:t>
      </w:r>
    </w:p>
    <w:p w:rsidR="00EE2D23" w:rsidRPr="009548A7" w:rsidRDefault="00EE2D23" w:rsidP="000447DA">
      <w:pPr>
        <w:spacing w:before="120"/>
        <w:ind w:firstLine="720"/>
        <w:jc w:val="both"/>
        <w:rPr>
          <w:spacing w:val="-2"/>
          <w:sz w:val="28"/>
          <w:szCs w:val="28"/>
        </w:rPr>
      </w:pPr>
      <w:r w:rsidRPr="009548A7">
        <w:rPr>
          <w:spacing w:val="-2"/>
          <w:sz w:val="28"/>
          <w:szCs w:val="28"/>
        </w:rPr>
        <w:t>- N</w:t>
      </w:r>
      <w:r w:rsidRPr="009548A7">
        <w:rPr>
          <w:spacing w:val="-2"/>
          <w:sz w:val="28"/>
          <w:szCs w:val="28"/>
          <w:vertAlign w:val="subscript"/>
        </w:rPr>
        <w:t>it</w:t>
      </w:r>
      <w:r w:rsidRPr="009548A7">
        <w:rPr>
          <w:spacing w:val="-2"/>
          <w:sz w:val="28"/>
          <w:szCs w:val="28"/>
        </w:rPr>
        <w:t xml:space="preserve"> là </w:t>
      </w:r>
      <w:r w:rsidRPr="009548A7">
        <w:rPr>
          <w:sz w:val="28"/>
          <w:szCs w:val="28"/>
        </w:rPr>
        <w:t>tỷ lệ tính phí</w:t>
      </w:r>
      <w:r w:rsidRPr="009548A7">
        <w:rPr>
          <w:spacing w:val="-2"/>
          <w:sz w:val="28"/>
          <w:szCs w:val="28"/>
        </w:rPr>
        <w:t xml:space="preserve"> của dự </w:t>
      </w:r>
      <w:proofErr w:type="gramStart"/>
      <w:r w:rsidRPr="009548A7">
        <w:rPr>
          <w:spacing w:val="-2"/>
          <w:sz w:val="28"/>
          <w:szCs w:val="28"/>
        </w:rPr>
        <w:t>án</w:t>
      </w:r>
      <w:proofErr w:type="gramEnd"/>
      <w:r w:rsidRPr="009548A7">
        <w:rPr>
          <w:spacing w:val="-2"/>
          <w:sz w:val="28"/>
          <w:szCs w:val="28"/>
        </w:rPr>
        <w:t xml:space="preserve"> thứ i</w:t>
      </w:r>
      <w:r w:rsidR="000447DA" w:rsidRPr="009548A7">
        <w:rPr>
          <w:spacing w:val="-2"/>
          <w:sz w:val="28"/>
          <w:szCs w:val="28"/>
        </w:rPr>
        <w:t xml:space="preserve"> theo quy mô giá trị cần tính (Đ</w:t>
      </w:r>
      <w:r w:rsidRPr="009548A7">
        <w:rPr>
          <w:spacing w:val="-2"/>
          <w:sz w:val="28"/>
          <w:szCs w:val="28"/>
        </w:rPr>
        <w:t>ơn vị tính: %).</w:t>
      </w:r>
    </w:p>
    <w:p w:rsidR="00EE2D23" w:rsidRPr="009548A7" w:rsidRDefault="00EE2D23" w:rsidP="000447DA">
      <w:pPr>
        <w:spacing w:before="120"/>
        <w:ind w:firstLine="720"/>
        <w:jc w:val="both"/>
        <w:rPr>
          <w:spacing w:val="-2"/>
          <w:sz w:val="28"/>
          <w:szCs w:val="28"/>
        </w:rPr>
      </w:pPr>
      <w:r w:rsidRPr="009548A7">
        <w:rPr>
          <w:spacing w:val="-2"/>
          <w:sz w:val="28"/>
          <w:szCs w:val="28"/>
        </w:rPr>
        <w:t>- G</w:t>
      </w:r>
      <w:r w:rsidRPr="009548A7">
        <w:rPr>
          <w:spacing w:val="-2"/>
          <w:sz w:val="28"/>
          <w:szCs w:val="28"/>
          <w:vertAlign w:val="subscript"/>
        </w:rPr>
        <w:t xml:space="preserve">it </w:t>
      </w:r>
      <w:r w:rsidRPr="009548A7">
        <w:rPr>
          <w:spacing w:val="-2"/>
          <w:sz w:val="28"/>
          <w:szCs w:val="28"/>
        </w:rPr>
        <w:t xml:space="preserve">là giá trị tổng mức đầu tư của dự </w:t>
      </w:r>
      <w:proofErr w:type="gramStart"/>
      <w:r w:rsidRPr="009548A7">
        <w:rPr>
          <w:spacing w:val="-2"/>
          <w:sz w:val="28"/>
          <w:szCs w:val="28"/>
        </w:rPr>
        <w:t>án</w:t>
      </w:r>
      <w:proofErr w:type="gramEnd"/>
      <w:r w:rsidRPr="009548A7">
        <w:rPr>
          <w:spacing w:val="-2"/>
          <w:sz w:val="28"/>
          <w:szCs w:val="28"/>
        </w:rPr>
        <w:t xml:space="preserve"> thứ i cần tín</w:t>
      </w:r>
      <w:r w:rsidR="000447DA" w:rsidRPr="009548A7">
        <w:rPr>
          <w:spacing w:val="-2"/>
          <w:sz w:val="28"/>
          <w:szCs w:val="28"/>
        </w:rPr>
        <w:t>h phí thẩm du</w:t>
      </w:r>
      <w:r w:rsidR="009B3F5C" w:rsidRPr="009548A7">
        <w:rPr>
          <w:spacing w:val="-2"/>
          <w:sz w:val="28"/>
          <w:szCs w:val="28"/>
        </w:rPr>
        <w:t>yệt (Đ</w:t>
      </w:r>
      <w:r w:rsidR="000447DA" w:rsidRPr="009548A7">
        <w:rPr>
          <w:spacing w:val="-2"/>
          <w:sz w:val="28"/>
          <w:szCs w:val="28"/>
        </w:rPr>
        <w:t>ơn vị tính: T</w:t>
      </w:r>
      <w:r w:rsidRPr="009548A7">
        <w:rPr>
          <w:spacing w:val="-2"/>
          <w:sz w:val="28"/>
          <w:szCs w:val="28"/>
        </w:rPr>
        <w:t xml:space="preserve">ỷ </w:t>
      </w:r>
      <w:r w:rsidR="000447DA" w:rsidRPr="009548A7">
        <w:rPr>
          <w:spacing w:val="-2"/>
          <w:sz w:val="28"/>
          <w:szCs w:val="28"/>
        </w:rPr>
        <w:t>đồng</w:t>
      </w:r>
      <w:r w:rsidRPr="009548A7">
        <w:rPr>
          <w:spacing w:val="-2"/>
          <w:sz w:val="28"/>
          <w:szCs w:val="28"/>
        </w:rPr>
        <w:t>).</w:t>
      </w:r>
    </w:p>
    <w:p w:rsidR="00EE2D23" w:rsidRPr="009548A7" w:rsidRDefault="00EE2D23" w:rsidP="000447DA">
      <w:pPr>
        <w:spacing w:before="120"/>
        <w:ind w:firstLine="720"/>
        <w:jc w:val="both"/>
        <w:rPr>
          <w:spacing w:val="-2"/>
          <w:sz w:val="28"/>
          <w:szCs w:val="28"/>
        </w:rPr>
      </w:pPr>
      <w:r w:rsidRPr="009548A7">
        <w:rPr>
          <w:spacing w:val="-2"/>
          <w:sz w:val="28"/>
          <w:szCs w:val="28"/>
        </w:rPr>
        <w:t>- G</w:t>
      </w:r>
      <w:r w:rsidRPr="009548A7">
        <w:rPr>
          <w:spacing w:val="-2"/>
          <w:sz w:val="28"/>
          <w:szCs w:val="28"/>
          <w:vertAlign w:val="subscript"/>
        </w:rPr>
        <w:t>ia</w:t>
      </w:r>
      <w:r w:rsidRPr="009548A7">
        <w:rPr>
          <w:spacing w:val="-2"/>
          <w:sz w:val="28"/>
          <w:szCs w:val="28"/>
        </w:rPr>
        <w:t xml:space="preserve"> là giá trị tổng mức đầu tư cận trên giá trị tổng mức đầu tư của dự </w:t>
      </w:r>
      <w:proofErr w:type="gramStart"/>
      <w:r w:rsidRPr="009548A7">
        <w:rPr>
          <w:spacing w:val="-2"/>
          <w:sz w:val="28"/>
          <w:szCs w:val="28"/>
        </w:rPr>
        <w:t>án</w:t>
      </w:r>
      <w:proofErr w:type="gramEnd"/>
      <w:r w:rsidRPr="009548A7">
        <w:rPr>
          <w:spacing w:val="-2"/>
          <w:sz w:val="28"/>
          <w:szCs w:val="28"/>
        </w:rPr>
        <w:t xml:space="preserve"> cần tính phí thẩm duyệt (</w:t>
      </w:r>
      <w:r w:rsidR="000447DA" w:rsidRPr="009548A7">
        <w:rPr>
          <w:spacing w:val="-2"/>
          <w:sz w:val="28"/>
          <w:szCs w:val="28"/>
        </w:rPr>
        <w:t>Đ</w:t>
      </w:r>
      <w:r w:rsidRPr="009548A7">
        <w:rPr>
          <w:spacing w:val="-2"/>
          <w:sz w:val="28"/>
          <w:szCs w:val="28"/>
        </w:rPr>
        <w:t xml:space="preserve">ơn vị tính: </w:t>
      </w:r>
      <w:r w:rsidR="000447DA" w:rsidRPr="009548A7">
        <w:rPr>
          <w:spacing w:val="-2"/>
          <w:sz w:val="28"/>
          <w:szCs w:val="28"/>
        </w:rPr>
        <w:t>T</w:t>
      </w:r>
      <w:r w:rsidRPr="009548A7">
        <w:rPr>
          <w:spacing w:val="-2"/>
          <w:sz w:val="28"/>
          <w:szCs w:val="28"/>
        </w:rPr>
        <w:t xml:space="preserve">ỷ </w:t>
      </w:r>
      <w:r w:rsidR="000447DA" w:rsidRPr="009548A7">
        <w:rPr>
          <w:spacing w:val="-2"/>
          <w:sz w:val="28"/>
          <w:szCs w:val="28"/>
        </w:rPr>
        <w:t>đồng</w:t>
      </w:r>
      <w:r w:rsidRPr="009548A7">
        <w:rPr>
          <w:spacing w:val="-2"/>
          <w:sz w:val="28"/>
          <w:szCs w:val="28"/>
        </w:rPr>
        <w:t>).</w:t>
      </w:r>
    </w:p>
    <w:p w:rsidR="00EE2D23" w:rsidRPr="009548A7" w:rsidRDefault="00EE2D23" w:rsidP="000447DA">
      <w:pPr>
        <w:spacing w:before="120"/>
        <w:ind w:firstLine="720"/>
        <w:jc w:val="both"/>
        <w:rPr>
          <w:spacing w:val="-2"/>
          <w:sz w:val="28"/>
          <w:szCs w:val="28"/>
        </w:rPr>
      </w:pPr>
      <w:r w:rsidRPr="009548A7">
        <w:rPr>
          <w:spacing w:val="-2"/>
          <w:sz w:val="28"/>
          <w:szCs w:val="28"/>
        </w:rPr>
        <w:t>- G</w:t>
      </w:r>
      <w:r w:rsidRPr="009548A7">
        <w:rPr>
          <w:spacing w:val="-2"/>
          <w:sz w:val="28"/>
          <w:szCs w:val="28"/>
          <w:vertAlign w:val="subscript"/>
        </w:rPr>
        <w:t>ib</w:t>
      </w:r>
      <w:r w:rsidRPr="009548A7">
        <w:rPr>
          <w:spacing w:val="-2"/>
          <w:sz w:val="28"/>
          <w:szCs w:val="28"/>
        </w:rPr>
        <w:t xml:space="preserve"> là giá trị tổng mức đầu tư cận dưới giá trị tổng mức đầu tư của dự </w:t>
      </w:r>
      <w:proofErr w:type="gramStart"/>
      <w:r w:rsidRPr="009548A7">
        <w:rPr>
          <w:spacing w:val="-2"/>
          <w:sz w:val="28"/>
          <w:szCs w:val="28"/>
        </w:rPr>
        <w:t>án</w:t>
      </w:r>
      <w:proofErr w:type="gramEnd"/>
      <w:r w:rsidRPr="009548A7">
        <w:rPr>
          <w:spacing w:val="-2"/>
          <w:sz w:val="28"/>
          <w:szCs w:val="28"/>
        </w:rPr>
        <w:t xml:space="preserve"> cần tín</w:t>
      </w:r>
      <w:r w:rsidR="000447DA" w:rsidRPr="009548A7">
        <w:rPr>
          <w:spacing w:val="-2"/>
          <w:sz w:val="28"/>
          <w:szCs w:val="28"/>
        </w:rPr>
        <w:t>h phí thẩm duyệt (Đơn vị tính: T</w:t>
      </w:r>
      <w:r w:rsidRPr="009548A7">
        <w:rPr>
          <w:spacing w:val="-2"/>
          <w:sz w:val="28"/>
          <w:szCs w:val="28"/>
        </w:rPr>
        <w:t xml:space="preserve">ỷ </w:t>
      </w:r>
      <w:r w:rsidR="000447DA" w:rsidRPr="009548A7">
        <w:rPr>
          <w:spacing w:val="-2"/>
          <w:sz w:val="28"/>
          <w:szCs w:val="28"/>
        </w:rPr>
        <w:t>đồng)</w:t>
      </w:r>
      <w:r w:rsidRPr="009548A7">
        <w:rPr>
          <w:spacing w:val="-2"/>
          <w:sz w:val="28"/>
          <w:szCs w:val="28"/>
        </w:rPr>
        <w:t>.</w:t>
      </w:r>
    </w:p>
    <w:p w:rsidR="00EE2D23" w:rsidRPr="009548A7" w:rsidRDefault="00EE2D23" w:rsidP="000447DA">
      <w:pPr>
        <w:spacing w:before="120"/>
        <w:ind w:firstLine="720"/>
        <w:jc w:val="both"/>
        <w:rPr>
          <w:spacing w:val="-2"/>
          <w:sz w:val="28"/>
          <w:szCs w:val="28"/>
        </w:rPr>
      </w:pPr>
      <w:r w:rsidRPr="009548A7">
        <w:rPr>
          <w:spacing w:val="-2"/>
          <w:sz w:val="28"/>
          <w:szCs w:val="28"/>
        </w:rPr>
        <w:t>- N</w:t>
      </w:r>
      <w:r w:rsidRPr="009548A7">
        <w:rPr>
          <w:spacing w:val="-2"/>
          <w:sz w:val="28"/>
          <w:szCs w:val="28"/>
          <w:vertAlign w:val="subscript"/>
        </w:rPr>
        <w:t>ia</w:t>
      </w:r>
      <w:r w:rsidRPr="009548A7">
        <w:rPr>
          <w:spacing w:val="-2"/>
          <w:sz w:val="28"/>
          <w:szCs w:val="28"/>
        </w:rPr>
        <w:t xml:space="preserve"> là </w:t>
      </w:r>
      <w:r w:rsidRPr="009548A7">
        <w:rPr>
          <w:sz w:val="28"/>
          <w:szCs w:val="28"/>
        </w:rPr>
        <w:t>tỷ lệ tính phí</w:t>
      </w:r>
      <w:r w:rsidRPr="009548A7">
        <w:rPr>
          <w:spacing w:val="-2"/>
          <w:sz w:val="28"/>
          <w:szCs w:val="28"/>
        </w:rPr>
        <w:t xml:space="preserve"> </w:t>
      </w:r>
      <w:r w:rsidR="000447DA" w:rsidRPr="009548A7">
        <w:rPr>
          <w:spacing w:val="-2"/>
          <w:sz w:val="28"/>
          <w:szCs w:val="28"/>
        </w:rPr>
        <w:t xml:space="preserve">của dự </w:t>
      </w:r>
      <w:proofErr w:type="gramStart"/>
      <w:r w:rsidR="000447DA" w:rsidRPr="009548A7">
        <w:rPr>
          <w:spacing w:val="-2"/>
          <w:sz w:val="28"/>
          <w:szCs w:val="28"/>
        </w:rPr>
        <w:t>án</w:t>
      </w:r>
      <w:proofErr w:type="gramEnd"/>
      <w:r w:rsidR="000447DA" w:rsidRPr="009548A7">
        <w:rPr>
          <w:spacing w:val="-2"/>
          <w:sz w:val="28"/>
          <w:szCs w:val="28"/>
        </w:rPr>
        <w:t xml:space="preserve"> thứ i tương ứng G</w:t>
      </w:r>
      <w:r w:rsidR="000447DA" w:rsidRPr="009548A7">
        <w:rPr>
          <w:spacing w:val="-2"/>
          <w:sz w:val="28"/>
          <w:szCs w:val="28"/>
          <w:vertAlign w:val="subscript"/>
        </w:rPr>
        <w:t>ia</w:t>
      </w:r>
      <w:r w:rsidR="000447DA" w:rsidRPr="009548A7">
        <w:rPr>
          <w:spacing w:val="-2"/>
          <w:sz w:val="28"/>
          <w:szCs w:val="28"/>
        </w:rPr>
        <w:t xml:space="preserve"> (Đ</w:t>
      </w:r>
      <w:r w:rsidRPr="009548A7">
        <w:rPr>
          <w:spacing w:val="-2"/>
          <w:sz w:val="28"/>
          <w:szCs w:val="28"/>
        </w:rPr>
        <w:t>ơn vị tính: %).</w:t>
      </w:r>
    </w:p>
    <w:p w:rsidR="00EE2D23" w:rsidRPr="009548A7" w:rsidRDefault="00EE2D23" w:rsidP="000447DA">
      <w:pPr>
        <w:spacing w:before="120"/>
        <w:ind w:firstLine="720"/>
        <w:jc w:val="both"/>
        <w:rPr>
          <w:spacing w:val="-2"/>
          <w:sz w:val="28"/>
          <w:szCs w:val="28"/>
        </w:rPr>
      </w:pPr>
      <w:r w:rsidRPr="009548A7">
        <w:rPr>
          <w:spacing w:val="-2"/>
          <w:sz w:val="28"/>
          <w:szCs w:val="28"/>
        </w:rPr>
        <w:t>- N</w:t>
      </w:r>
      <w:r w:rsidRPr="009548A7">
        <w:rPr>
          <w:spacing w:val="-2"/>
          <w:sz w:val="28"/>
          <w:szCs w:val="28"/>
          <w:vertAlign w:val="subscript"/>
        </w:rPr>
        <w:t>ib</w:t>
      </w:r>
      <w:r w:rsidRPr="009548A7">
        <w:rPr>
          <w:spacing w:val="-2"/>
          <w:sz w:val="28"/>
          <w:szCs w:val="28"/>
        </w:rPr>
        <w:t xml:space="preserve"> là </w:t>
      </w:r>
      <w:r w:rsidRPr="009548A7">
        <w:rPr>
          <w:sz w:val="28"/>
          <w:szCs w:val="28"/>
        </w:rPr>
        <w:t>tỷ lệ tính phí</w:t>
      </w:r>
      <w:r w:rsidRPr="009548A7">
        <w:rPr>
          <w:spacing w:val="-2"/>
          <w:sz w:val="28"/>
          <w:szCs w:val="28"/>
        </w:rPr>
        <w:t xml:space="preserve"> </w:t>
      </w:r>
      <w:r w:rsidR="000447DA" w:rsidRPr="009548A7">
        <w:rPr>
          <w:spacing w:val="-2"/>
          <w:sz w:val="28"/>
          <w:szCs w:val="28"/>
        </w:rPr>
        <w:t xml:space="preserve">của dự </w:t>
      </w:r>
      <w:proofErr w:type="gramStart"/>
      <w:r w:rsidR="000447DA" w:rsidRPr="009548A7">
        <w:rPr>
          <w:spacing w:val="-2"/>
          <w:sz w:val="28"/>
          <w:szCs w:val="28"/>
        </w:rPr>
        <w:t>án</w:t>
      </w:r>
      <w:proofErr w:type="gramEnd"/>
      <w:r w:rsidR="000447DA" w:rsidRPr="009548A7">
        <w:rPr>
          <w:spacing w:val="-2"/>
          <w:sz w:val="28"/>
          <w:szCs w:val="28"/>
        </w:rPr>
        <w:t xml:space="preserve"> thứ i tương ứng G</w:t>
      </w:r>
      <w:r w:rsidR="000447DA" w:rsidRPr="009548A7">
        <w:rPr>
          <w:spacing w:val="-2"/>
          <w:sz w:val="28"/>
          <w:szCs w:val="28"/>
          <w:vertAlign w:val="subscript"/>
        </w:rPr>
        <w:t>ib</w:t>
      </w:r>
      <w:r w:rsidR="000447DA" w:rsidRPr="009548A7">
        <w:rPr>
          <w:spacing w:val="-2"/>
          <w:sz w:val="28"/>
          <w:szCs w:val="28"/>
        </w:rPr>
        <w:t xml:space="preserve"> (Đ</w:t>
      </w:r>
      <w:r w:rsidRPr="009548A7">
        <w:rPr>
          <w:spacing w:val="-2"/>
          <w:sz w:val="28"/>
          <w:szCs w:val="28"/>
        </w:rPr>
        <w:t>ơn vị tính: %).</w:t>
      </w:r>
    </w:p>
    <w:p w:rsidR="00EE2D23" w:rsidRPr="009548A7" w:rsidRDefault="00EE2D23" w:rsidP="000447DA">
      <w:pPr>
        <w:spacing w:before="120"/>
        <w:ind w:firstLine="720"/>
        <w:jc w:val="both"/>
        <w:rPr>
          <w:spacing w:val="-2"/>
          <w:sz w:val="28"/>
          <w:szCs w:val="28"/>
        </w:rPr>
      </w:pPr>
      <w:r w:rsidRPr="009548A7">
        <w:rPr>
          <w:spacing w:val="-2"/>
          <w:sz w:val="28"/>
          <w:szCs w:val="28"/>
        </w:rPr>
        <w:t xml:space="preserve">3. </w:t>
      </w:r>
      <w:r w:rsidRPr="008C3CD8">
        <w:rPr>
          <w:sz w:val="28"/>
          <w:szCs w:val="28"/>
        </w:rPr>
        <w:t xml:space="preserve">Mức thu phí </w:t>
      </w:r>
      <w:r w:rsidR="00C14BEE" w:rsidRPr="008C3CD8">
        <w:rPr>
          <w:sz w:val="28"/>
          <w:szCs w:val="28"/>
        </w:rPr>
        <w:t>thẩm duyệt</w:t>
      </w:r>
      <w:r w:rsidR="00C14BEE" w:rsidRPr="009548A7">
        <w:rPr>
          <w:spacing w:val="-2"/>
          <w:sz w:val="28"/>
          <w:szCs w:val="28"/>
        </w:rPr>
        <w:t xml:space="preserve"> </w:t>
      </w:r>
      <w:r w:rsidRPr="009548A7">
        <w:rPr>
          <w:spacing w:val="-2"/>
          <w:sz w:val="28"/>
          <w:szCs w:val="28"/>
        </w:rPr>
        <w:t xml:space="preserve">phải nộp đối với một dự án được xác định theo hướng dẫn tại </w:t>
      </w:r>
      <w:r w:rsidR="00FB4F92" w:rsidRPr="009548A7">
        <w:rPr>
          <w:spacing w:val="-2"/>
          <w:sz w:val="28"/>
          <w:szCs w:val="28"/>
        </w:rPr>
        <w:t>k</w:t>
      </w:r>
      <w:r w:rsidR="009627F0" w:rsidRPr="009548A7">
        <w:rPr>
          <w:spacing w:val="-2"/>
          <w:sz w:val="28"/>
          <w:szCs w:val="28"/>
        </w:rPr>
        <w:t xml:space="preserve">hoản 1 và </w:t>
      </w:r>
      <w:r w:rsidR="00FB4F92" w:rsidRPr="009548A7">
        <w:rPr>
          <w:spacing w:val="-2"/>
          <w:sz w:val="28"/>
          <w:szCs w:val="28"/>
        </w:rPr>
        <w:t>k</w:t>
      </w:r>
      <w:r w:rsidRPr="009548A7">
        <w:rPr>
          <w:spacing w:val="-2"/>
          <w:sz w:val="28"/>
          <w:szCs w:val="28"/>
        </w:rPr>
        <w:t>hoản 2 Điều n</w:t>
      </w:r>
      <w:r w:rsidR="000447DA" w:rsidRPr="009548A7">
        <w:rPr>
          <w:spacing w:val="-2"/>
          <w:sz w:val="28"/>
          <w:szCs w:val="28"/>
        </w:rPr>
        <w:t>ày, mức tối thiểu là 500.000 đồng</w:t>
      </w:r>
      <w:r w:rsidRPr="009548A7">
        <w:rPr>
          <w:spacing w:val="-2"/>
          <w:sz w:val="28"/>
          <w:szCs w:val="28"/>
        </w:rPr>
        <w:t>/dự</w:t>
      </w:r>
      <w:r w:rsidR="000447DA" w:rsidRPr="009548A7">
        <w:rPr>
          <w:spacing w:val="-2"/>
          <w:sz w:val="28"/>
          <w:szCs w:val="28"/>
        </w:rPr>
        <w:t xml:space="preserve"> án và tối đa là 150.000.000 đồng</w:t>
      </w:r>
      <w:r w:rsidRPr="009548A7">
        <w:rPr>
          <w:spacing w:val="-2"/>
          <w:sz w:val="28"/>
          <w:szCs w:val="28"/>
        </w:rPr>
        <w:t>/dự án.</w:t>
      </w:r>
    </w:p>
    <w:p w:rsidR="00EE2D23" w:rsidRDefault="00EE2D23" w:rsidP="000447DA">
      <w:pPr>
        <w:spacing w:before="120"/>
        <w:ind w:firstLine="720"/>
        <w:jc w:val="both"/>
        <w:rPr>
          <w:spacing w:val="-2"/>
          <w:sz w:val="28"/>
          <w:szCs w:val="28"/>
        </w:rPr>
      </w:pPr>
      <w:r w:rsidRPr="009548A7">
        <w:rPr>
          <w:spacing w:val="-2"/>
          <w:sz w:val="28"/>
          <w:szCs w:val="28"/>
        </w:rPr>
        <w:t xml:space="preserve">4. Mức thu phí </w:t>
      </w:r>
      <w:r w:rsidR="00C14BEE" w:rsidRPr="008C3CD8">
        <w:rPr>
          <w:sz w:val="28"/>
          <w:szCs w:val="28"/>
        </w:rPr>
        <w:t>thẩm duyệt</w:t>
      </w:r>
      <w:r w:rsidR="00C14BEE" w:rsidRPr="009548A7">
        <w:rPr>
          <w:spacing w:val="-2"/>
          <w:sz w:val="28"/>
          <w:szCs w:val="28"/>
        </w:rPr>
        <w:t xml:space="preserve"> </w:t>
      </w:r>
      <w:r w:rsidRPr="009548A7">
        <w:rPr>
          <w:spacing w:val="-2"/>
          <w:sz w:val="28"/>
          <w:szCs w:val="28"/>
        </w:rPr>
        <w:t>đối với dự án đầu tư xây dựng thiết kế cải tạo hoặc thay đổi tính chất sử dụng công trình, hạng mục công trình; hoán cải phương tiện giao thông; xây dựng mới hạng mục công trình được xác định theo giá trị tổng mức đầu tư cải tạo hoặc thay đổi tính chất sử dụng công trình, hạng mục công trình; hoán cải phương tiện giao thông; thiết kế xây dựng mới hạng mục công trình.</w:t>
      </w:r>
    </w:p>
    <w:p w:rsidR="00EB09F4" w:rsidRPr="009548A7" w:rsidRDefault="00EB09F4" w:rsidP="000447DA">
      <w:pPr>
        <w:spacing w:before="120"/>
        <w:ind w:firstLine="720"/>
        <w:jc w:val="both"/>
        <w:rPr>
          <w:spacing w:val="-2"/>
          <w:sz w:val="28"/>
          <w:szCs w:val="28"/>
        </w:rPr>
      </w:pPr>
    </w:p>
    <w:p w:rsidR="005A777F" w:rsidRPr="009548A7" w:rsidRDefault="005A777F" w:rsidP="000447DA">
      <w:pPr>
        <w:widowControl w:val="0"/>
        <w:spacing w:before="120"/>
        <w:ind w:firstLine="720"/>
        <w:jc w:val="both"/>
        <w:rPr>
          <w:b/>
          <w:sz w:val="28"/>
          <w:szCs w:val="28"/>
        </w:rPr>
      </w:pPr>
      <w:proofErr w:type="gramStart"/>
      <w:r w:rsidRPr="009548A7">
        <w:rPr>
          <w:b/>
          <w:sz w:val="28"/>
          <w:szCs w:val="28"/>
        </w:rPr>
        <w:lastRenderedPageBreak/>
        <w:t xml:space="preserve">Điều </w:t>
      </w:r>
      <w:r w:rsidR="009626B3" w:rsidRPr="009626B3">
        <w:rPr>
          <w:b/>
          <w:sz w:val="28"/>
          <w:szCs w:val="28"/>
        </w:rPr>
        <w:t>5</w:t>
      </w:r>
      <w:r w:rsidRPr="009548A7">
        <w:rPr>
          <w:b/>
          <w:sz w:val="28"/>
          <w:szCs w:val="28"/>
        </w:rPr>
        <w:t>.</w:t>
      </w:r>
      <w:proofErr w:type="gramEnd"/>
      <w:r w:rsidRPr="009548A7">
        <w:rPr>
          <w:b/>
          <w:sz w:val="28"/>
          <w:szCs w:val="28"/>
        </w:rPr>
        <w:t xml:space="preserve"> Kê khai, nộp phí </w:t>
      </w:r>
    </w:p>
    <w:p w:rsidR="0029575F" w:rsidRDefault="00444AC5" w:rsidP="0029575F">
      <w:pPr>
        <w:spacing w:before="120"/>
        <w:ind w:firstLine="720"/>
        <w:jc w:val="both"/>
        <w:rPr>
          <w:sz w:val="28"/>
          <w:szCs w:val="28"/>
        </w:rPr>
      </w:pPr>
      <w:r w:rsidRPr="008C3CD8">
        <w:rPr>
          <w:sz w:val="28"/>
          <w:szCs w:val="28"/>
        </w:rPr>
        <w:t>1</w:t>
      </w:r>
      <w:r w:rsidR="005A777F" w:rsidRPr="008C3CD8">
        <w:rPr>
          <w:sz w:val="28"/>
          <w:szCs w:val="28"/>
        </w:rPr>
        <w:t xml:space="preserve">. Chậm nhất là ngày 05 hàng tháng, tổ chức </w:t>
      </w:r>
      <w:proofErr w:type="gramStart"/>
      <w:r w:rsidR="005A777F" w:rsidRPr="008C3CD8">
        <w:rPr>
          <w:sz w:val="28"/>
          <w:szCs w:val="28"/>
        </w:rPr>
        <w:t>thu</w:t>
      </w:r>
      <w:proofErr w:type="gramEnd"/>
      <w:r w:rsidR="005A777F" w:rsidRPr="008C3CD8">
        <w:rPr>
          <w:sz w:val="28"/>
          <w:szCs w:val="28"/>
        </w:rPr>
        <w:t xml:space="preserve"> phí phải gửi số tiền phí đã thu của tháng trước vào tài khoản phí chờ nộp ngân sách mở tại Kho bạc nhà nước. </w:t>
      </w:r>
    </w:p>
    <w:p w:rsidR="0076521E" w:rsidRPr="0005235C" w:rsidRDefault="00444AC5" w:rsidP="0029575F">
      <w:pPr>
        <w:spacing w:before="120"/>
        <w:ind w:firstLine="720"/>
        <w:jc w:val="both"/>
        <w:rPr>
          <w:sz w:val="28"/>
          <w:szCs w:val="28"/>
        </w:rPr>
      </w:pPr>
      <w:r w:rsidRPr="0005235C">
        <w:rPr>
          <w:sz w:val="28"/>
          <w:szCs w:val="28"/>
        </w:rPr>
        <w:t>2</w:t>
      </w:r>
      <w:r w:rsidR="0076521E" w:rsidRPr="0005235C">
        <w:rPr>
          <w:sz w:val="28"/>
          <w:szCs w:val="28"/>
        </w:rPr>
        <w:t xml:space="preserve">. Tổ chức thu phí thực hiện kê khai, nộp số tiền phí thu được </w:t>
      </w:r>
      <w:r w:rsidR="00B05A99" w:rsidRPr="0005235C">
        <w:rPr>
          <w:sz w:val="28"/>
          <w:szCs w:val="28"/>
        </w:rPr>
        <w:t xml:space="preserve">theo </w:t>
      </w:r>
      <w:r w:rsidR="00395643" w:rsidRPr="0005235C">
        <w:rPr>
          <w:sz w:val="28"/>
          <w:szCs w:val="28"/>
        </w:rPr>
        <w:t>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486B9D" w:rsidRPr="008C3CD8" w:rsidRDefault="00F8596A" w:rsidP="000447DA">
      <w:pPr>
        <w:spacing w:before="120"/>
        <w:ind w:firstLine="720"/>
        <w:jc w:val="both"/>
        <w:rPr>
          <w:b/>
          <w:sz w:val="28"/>
          <w:szCs w:val="28"/>
        </w:rPr>
      </w:pPr>
      <w:proofErr w:type="gramStart"/>
      <w:r w:rsidRPr="008C3CD8">
        <w:rPr>
          <w:b/>
          <w:sz w:val="28"/>
          <w:szCs w:val="28"/>
        </w:rPr>
        <w:t xml:space="preserve">Điều </w:t>
      </w:r>
      <w:r w:rsidR="009626B3" w:rsidRPr="008C3CD8">
        <w:rPr>
          <w:b/>
          <w:sz w:val="28"/>
          <w:szCs w:val="28"/>
        </w:rPr>
        <w:t>6</w:t>
      </w:r>
      <w:r w:rsidR="00CD7E0C" w:rsidRPr="008C3CD8">
        <w:rPr>
          <w:b/>
          <w:sz w:val="28"/>
          <w:szCs w:val="28"/>
        </w:rPr>
        <w:t>.</w:t>
      </w:r>
      <w:proofErr w:type="gramEnd"/>
      <w:r w:rsidR="00CD7E0C" w:rsidRPr="008C3CD8">
        <w:rPr>
          <w:b/>
          <w:sz w:val="28"/>
          <w:szCs w:val="28"/>
        </w:rPr>
        <w:t xml:space="preserve"> Quản lý</w:t>
      </w:r>
      <w:r w:rsidR="00486B9D" w:rsidRPr="008C3CD8">
        <w:rPr>
          <w:b/>
          <w:sz w:val="28"/>
          <w:szCs w:val="28"/>
        </w:rPr>
        <w:t xml:space="preserve"> </w:t>
      </w:r>
      <w:r w:rsidR="00444AC5" w:rsidRPr="008C3CD8">
        <w:rPr>
          <w:b/>
          <w:sz w:val="28"/>
          <w:szCs w:val="28"/>
        </w:rPr>
        <w:t xml:space="preserve">và sử dụng </w:t>
      </w:r>
      <w:r w:rsidR="00486B9D" w:rsidRPr="008C3CD8">
        <w:rPr>
          <w:b/>
          <w:sz w:val="28"/>
          <w:szCs w:val="28"/>
        </w:rPr>
        <w:t>phí</w:t>
      </w:r>
    </w:p>
    <w:p w:rsidR="00882364" w:rsidRPr="00A25B08" w:rsidRDefault="00444AC5" w:rsidP="00A25B08">
      <w:pPr>
        <w:pStyle w:val="Heading2"/>
        <w:spacing w:before="120"/>
        <w:rPr>
          <w:rFonts w:ascii="Times New Roman" w:hAnsi="Times New Roman"/>
          <w:i w:val="0"/>
          <w:szCs w:val="28"/>
          <w:lang w:val="pt-BR"/>
        </w:rPr>
      </w:pPr>
      <w:r w:rsidRPr="00A25B08">
        <w:rPr>
          <w:rFonts w:ascii="Times New Roman" w:hAnsi="Times New Roman"/>
          <w:i w:val="0"/>
          <w:szCs w:val="28"/>
          <w:lang w:val="pt-BR"/>
        </w:rPr>
        <w:t>1. T</w:t>
      </w:r>
      <w:r w:rsidR="0076521E" w:rsidRPr="00A25B08">
        <w:rPr>
          <w:rFonts w:ascii="Times New Roman" w:hAnsi="Times New Roman"/>
          <w:i w:val="0"/>
          <w:szCs w:val="28"/>
          <w:lang w:val="pt-BR"/>
        </w:rPr>
        <w:t xml:space="preserve">ổ chức thu phí </w:t>
      </w:r>
      <w:r w:rsidRPr="00A25B08">
        <w:rPr>
          <w:rFonts w:ascii="Times New Roman" w:hAnsi="Times New Roman"/>
          <w:i w:val="0"/>
          <w:szCs w:val="28"/>
          <w:lang w:val="pt-BR"/>
        </w:rPr>
        <w:t>được</w:t>
      </w:r>
      <w:r w:rsidR="0076521E" w:rsidRPr="00A25B08">
        <w:rPr>
          <w:rFonts w:ascii="Times New Roman" w:hAnsi="Times New Roman"/>
          <w:i w:val="0"/>
          <w:szCs w:val="28"/>
          <w:lang w:val="pt-BR"/>
        </w:rPr>
        <w:t xml:space="preserve"> trích</w:t>
      </w:r>
      <w:r w:rsidR="00B43D4B" w:rsidRPr="00A25B08">
        <w:rPr>
          <w:rFonts w:ascii="Times New Roman" w:hAnsi="Times New Roman"/>
          <w:i w:val="0"/>
          <w:szCs w:val="28"/>
          <w:lang w:val="pt-BR"/>
        </w:rPr>
        <w:t xml:space="preserve"> lại </w:t>
      </w:r>
      <w:r w:rsidR="00D65ED1">
        <w:rPr>
          <w:rFonts w:ascii="Times New Roman" w:hAnsi="Times New Roman"/>
          <w:i w:val="0"/>
          <w:szCs w:val="28"/>
          <w:lang w:val="pt-BR"/>
        </w:rPr>
        <w:t>6</w:t>
      </w:r>
      <w:r w:rsidR="0076521E" w:rsidRPr="00A25B08">
        <w:rPr>
          <w:rFonts w:ascii="Times New Roman" w:hAnsi="Times New Roman"/>
          <w:i w:val="0"/>
          <w:szCs w:val="28"/>
          <w:lang w:val="pt-BR"/>
        </w:rPr>
        <w:t xml:space="preserve">0% số tiền phí thu được để trang trải chi phí </w:t>
      </w:r>
      <w:r w:rsidR="00285463" w:rsidRPr="00A25B08">
        <w:rPr>
          <w:rFonts w:ascii="Times New Roman" w:hAnsi="Times New Roman"/>
          <w:i w:val="0"/>
          <w:szCs w:val="28"/>
          <w:lang w:val="pt-BR"/>
        </w:rPr>
        <w:t>hoạt động</w:t>
      </w:r>
      <w:r w:rsidR="00CD7162" w:rsidRPr="00A25B08">
        <w:rPr>
          <w:rFonts w:ascii="Times New Roman" w:hAnsi="Times New Roman"/>
          <w:i w:val="0"/>
          <w:szCs w:val="28"/>
          <w:lang w:val="pt-BR"/>
        </w:rPr>
        <w:t>,</w:t>
      </w:r>
      <w:r w:rsidR="00285463" w:rsidRPr="00A25B08">
        <w:rPr>
          <w:rFonts w:ascii="Times New Roman" w:hAnsi="Times New Roman"/>
          <w:i w:val="0"/>
          <w:szCs w:val="28"/>
          <w:lang w:val="pt-BR"/>
        </w:rPr>
        <w:t xml:space="preserve">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w:t>
      </w:r>
    </w:p>
    <w:p w:rsidR="0076521E" w:rsidRPr="008C3CD8" w:rsidRDefault="00444AC5" w:rsidP="000447DA">
      <w:pPr>
        <w:widowControl w:val="0"/>
        <w:spacing w:before="120"/>
        <w:ind w:firstLine="720"/>
        <w:jc w:val="both"/>
        <w:rPr>
          <w:sz w:val="28"/>
          <w:szCs w:val="28"/>
        </w:rPr>
      </w:pPr>
      <w:r w:rsidRPr="008C3CD8">
        <w:rPr>
          <w:iCs/>
          <w:sz w:val="28"/>
          <w:szCs w:val="28"/>
        </w:rPr>
        <w:t>2.</w:t>
      </w:r>
      <w:r w:rsidR="0076521E" w:rsidRPr="008C3CD8">
        <w:rPr>
          <w:iCs/>
          <w:sz w:val="28"/>
          <w:szCs w:val="28"/>
        </w:rPr>
        <w:t xml:space="preserve"> </w:t>
      </w:r>
      <w:r w:rsidR="00882364" w:rsidRPr="008C3CD8">
        <w:rPr>
          <w:iCs/>
          <w:sz w:val="28"/>
          <w:szCs w:val="28"/>
        </w:rPr>
        <w:t>Số tiền</w:t>
      </w:r>
      <w:r w:rsidR="00285463" w:rsidRPr="008C3CD8">
        <w:rPr>
          <w:iCs/>
          <w:sz w:val="28"/>
          <w:szCs w:val="28"/>
        </w:rPr>
        <w:t xml:space="preserve"> phí</w:t>
      </w:r>
      <w:r w:rsidR="00882364" w:rsidRPr="008C3CD8">
        <w:rPr>
          <w:iCs/>
          <w:sz w:val="28"/>
          <w:szCs w:val="28"/>
        </w:rPr>
        <w:t xml:space="preserve"> còn lại n</w:t>
      </w:r>
      <w:r w:rsidR="0076521E" w:rsidRPr="009548A7">
        <w:rPr>
          <w:sz w:val="28"/>
          <w:szCs w:val="28"/>
          <w:lang w:val="vi-VN"/>
        </w:rPr>
        <w:t xml:space="preserve">ộp </w:t>
      </w:r>
      <w:r w:rsidR="00882364" w:rsidRPr="008C3CD8">
        <w:rPr>
          <w:sz w:val="28"/>
          <w:szCs w:val="28"/>
        </w:rPr>
        <w:t>(</w:t>
      </w:r>
      <w:r w:rsidR="0029575F">
        <w:rPr>
          <w:sz w:val="28"/>
          <w:szCs w:val="28"/>
        </w:rPr>
        <w:t>4</w:t>
      </w:r>
      <w:r w:rsidR="0076521E" w:rsidRPr="008C3CD8">
        <w:rPr>
          <w:sz w:val="28"/>
          <w:szCs w:val="28"/>
        </w:rPr>
        <w:t>0%</w:t>
      </w:r>
      <w:r w:rsidR="00882364" w:rsidRPr="008C3CD8">
        <w:rPr>
          <w:sz w:val="28"/>
          <w:szCs w:val="28"/>
        </w:rPr>
        <w:t>)</w:t>
      </w:r>
      <w:r w:rsidR="0076521E" w:rsidRPr="008C3CD8">
        <w:rPr>
          <w:sz w:val="28"/>
          <w:szCs w:val="28"/>
        </w:rPr>
        <w:t xml:space="preserve"> </w:t>
      </w:r>
      <w:r w:rsidR="0076521E" w:rsidRPr="009548A7">
        <w:rPr>
          <w:sz w:val="28"/>
          <w:szCs w:val="28"/>
          <w:lang w:val="vi-VN"/>
        </w:rPr>
        <w:t xml:space="preserve">vào </w:t>
      </w:r>
      <w:r w:rsidR="00E92F91" w:rsidRPr="008C3CD8">
        <w:rPr>
          <w:sz w:val="28"/>
          <w:szCs w:val="28"/>
        </w:rPr>
        <w:t xml:space="preserve">ngân sách nhà nước </w:t>
      </w:r>
      <w:proofErr w:type="gramStart"/>
      <w:r w:rsidR="00E92F91" w:rsidRPr="008C3CD8">
        <w:rPr>
          <w:sz w:val="28"/>
          <w:szCs w:val="28"/>
        </w:rPr>
        <w:t>theo</w:t>
      </w:r>
      <w:proofErr w:type="gramEnd"/>
      <w:r w:rsidR="00E92F91" w:rsidRPr="008C3CD8">
        <w:rPr>
          <w:sz w:val="28"/>
          <w:szCs w:val="28"/>
        </w:rPr>
        <w:t xml:space="preserve"> c</w:t>
      </w:r>
      <w:r w:rsidR="0076521E" w:rsidRPr="008C3CD8">
        <w:rPr>
          <w:sz w:val="28"/>
          <w:szCs w:val="28"/>
        </w:rPr>
        <w:t>hương, tiểu mục của Mục lục ngân sách nhà nước hiện hành</w:t>
      </w:r>
      <w:r w:rsidR="0076521E" w:rsidRPr="009548A7">
        <w:rPr>
          <w:sz w:val="28"/>
          <w:szCs w:val="28"/>
          <w:lang w:val="vi-VN"/>
        </w:rPr>
        <w:t>.</w:t>
      </w:r>
      <w:r w:rsidR="0076521E" w:rsidRPr="008C3CD8">
        <w:rPr>
          <w:sz w:val="28"/>
          <w:szCs w:val="28"/>
        </w:rPr>
        <w:t xml:space="preserve"> </w:t>
      </w:r>
    </w:p>
    <w:p w:rsidR="00486B9D" w:rsidRPr="008C3CD8" w:rsidRDefault="001E0ACF" w:rsidP="000447DA">
      <w:pPr>
        <w:widowControl w:val="0"/>
        <w:spacing w:before="120"/>
        <w:ind w:firstLine="720"/>
        <w:jc w:val="both"/>
        <w:rPr>
          <w:bCs/>
          <w:sz w:val="28"/>
          <w:szCs w:val="28"/>
        </w:rPr>
      </w:pPr>
      <w:proofErr w:type="gramStart"/>
      <w:r w:rsidRPr="008C3CD8">
        <w:rPr>
          <w:b/>
          <w:sz w:val="28"/>
          <w:szCs w:val="28"/>
        </w:rPr>
        <w:t>Đ</w:t>
      </w:r>
      <w:r w:rsidR="00882364" w:rsidRPr="008C3CD8">
        <w:rPr>
          <w:b/>
          <w:sz w:val="28"/>
          <w:szCs w:val="28"/>
        </w:rPr>
        <w:t xml:space="preserve">iều </w:t>
      </w:r>
      <w:r w:rsidR="009626B3" w:rsidRPr="008C3CD8">
        <w:rPr>
          <w:b/>
          <w:sz w:val="28"/>
          <w:szCs w:val="28"/>
        </w:rPr>
        <w:t>7</w:t>
      </w:r>
      <w:r w:rsidR="00486B9D" w:rsidRPr="008C3CD8">
        <w:rPr>
          <w:b/>
          <w:sz w:val="28"/>
          <w:szCs w:val="28"/>
        </w:rPr>
        <w:t>.</w:t>
      </w:r>
      <w:proofErr w:type="gramEnd"/>
      <w:r w:rsidR="00486B9D" w:rsidRPr="008C3CD8">
        <w:rPr>
          <w:b/>
          <w:sz w:val="28"/>
          <w:szCs w:val="28"/>
        </w:rPr>
        <w:t xml:space="preserve"> Tổ chức thực hiện</w:t>
      </w:r>
    </w:p>
    <w:p w:rsidR="0095059D" w:rsidRPr="008C3CD8" w:rsidRDefault="00486B9D" w:rsidP="000447DA">
      <w:pPr>
        <w:spacing w:before="120"/>
        <w:ind w:firstLine="720"/>
        <w:jc w:val="both"/>
        <w:rPr>
          <w:sz w:val="28"/>
          <w:szCs w:val="28"/>
        </w:rPr>
      </w:pPr>
      <w:r w:rsidRPr="008C3CD8">
        <w:rPr>
          <w:sz w:val="28"/>
          <w:szCs w:val="28"/>
        </w:rPr>
        <w:t xml:space="preserve">1. Thông tư này có hiệu lực thi hành kể từ ngày </w:t>
      </w:r>
      <w:r w:rsidR="00094D95" w:rsidRPr="008C3CD8">
        <w:rPr>
          <w:sz w:val="28"/>
          <w:szCs w:val="28"/>
        </w:rPr>
        <w:t xml:space="preserve">   </w:t>
      </w:r>
      <w:r w:rsidR="00E00157" w:rsidRPr="008C3CD8">
        <w:rPr>
          <w:sz w:val="28"/>
          <w:szCs w:val="28"/>
        </w:rPr>
        <w:t xml:space="preserve"> tháng </w:t>
      </w:r>
      <w:r w:rsidR="00094D95" w:rsidRPr="008C3CD8">
        <w:rPr>
          <w:sz w:val="28"/>
          <w:szCs w:val="28"/>
        </w:rPr>
        <w:t xml:space="preserve">  </w:t>
      </w:r>
      <w:r w:rsidR="00E00157" w:rsidRPr="008C3CD8">
        <w:rPr>
          <w:sz w:val="28"/>
          <w:szCs w:val="28"/>
        </w:rPr>
        <w:t xml:space="preserve"> năm </w:t>
      </w:r>
      <w:r w:rsidRPr="008C3CD8">
        <w:rPr>
          <w:sz w:val="28"/>
          <w:szCs w:val="28"/>
        </w:rPr>
        <w:t>20</w:t>
      </w:r>
      <w:r w:rsidR="00094D95" w:rsidRPr="008C3CD8">
        <w:rPr>
          <w:sz w:val="28"/>
          <w:szCs w:val="28"/>
        </w:rPr>
        <w:t>25.</w:t>
      </w:r>
    </w:p>
    <w:p w:rsidR="0095059D" w:rsidRPr="008C3CD8" w:rsidRDefault="0095059D" w:rsidP="0095059D">
      <w:pPr>
        <w:spacing w:before="120"/>
        <w:ind w:firstLine="720"/>
        <w:jc w:val="both"/>
        <w:rPr>
          <w:sz w:val="28"/>
          <w:szCs w:val="28"/>
        </w:rPr>
      </w:pPr>
      <w:r w:rsidRPr="008C3CD8">
        <w:rPr>
          <w:sz w:val="28"/>
          <w:szCs w:val="28"/>
        </w:rPr>
        <w:t xml:space="preserve">2. </w:t>
      </w:r>
      <w:r w:rsidR="00094D95" w:rsidRPr="008C3CD8">
        <w:rPr>
          <w:sz w:val="28"/>
          <w:szCs w:val="28"/>
        </w:rPr>
        <w:t xml:space="preserve">Thông tư này </w:t>
      </w:r>
      <w:r w:rsidRPr="008C3CD8">
        <w:rPr>
          <w:sz w:val="28"/>
          <w:szCs w:val="28"/>
        </w:rPr>
        <w:t>bãi bỏ</w:t>
      </w:r>
      <w:r w:rsidR="00395643" w:rsidRPr="008C3CD8">
        <w:rPr>
          <w:sz w:val="28"/>
          <w:szCs w:val="28"/>
        </w:rPr>
        <w:t>:</w:t>
      </w:r>
    </w:p>
    <w:p w:rsidR="0095059D" w:rsidRDefault="0095059D" w:rsidP="0095059D">
      <w:pPr>
        <w:spacing w:before="120"/>
        <w:ind w:firstLine="720"/>
        <w:jc w:val="both"/>
        <w:rPr>
          <w:sz w:val="28"/>
          <w:szCs w:val="28"/>
        </w:rPr>
      </w:pPr>
      <w:r w:rsidRPr="008C3CD8">
        <w:rPr>
          <w:sz w:val="28"/>
          <w:szCs w:val="28"/>
        </w:rPr>
        <w:t xml:space="preserve">a) </w:t>
      </w:r>
      <w:r w:rsidR="00094D95" w:rsidRPr="008C3CD8">
        <w:rPr>
          <w:sz w:val="28"/>
          <w:szCs w:val="28"/>
        </w:rPr>
        <w:t>Thông tư số 258/2016/TT-BTC ngày 11</w:t>
      </w:r>
      <w:r w:rsidRPr="008C3CD8">
        <w:rPr>
          <w:sz w:val="28"/>
          <w:szCs w:val="28"/>
        </w:rPr>
        <w:t xml:space="preserve"> tháng </w:t>
      </w:r>
      <w:r w:rsidR="00094D95" w:rsidRPr="008C3CD8">
        <w:rPr>
          <w:sz w:val="28"/>
          <w:szCs w:val="28"/>
        </w:rPr>
        <w:t>11</w:t>
      </w:r>
      <w:r w:rsidRPr="008C3CD8">
        <w:rPr>
          <w:sz w:val="28"/>
          <w:szCs w:val="28"/>
        </w:rPr>
        <w:t xml:space="preserve"> năm </w:t>
      </w:r>
      <w:r w:rsidR="00094D95" w:rsidRPr="008C3CD8">
        <w:rPr>
          <w:sz w:val="28"/>
          <w:szCs w:val="28"/>
        </w:rPr>
        <w:t>2016</w:t>
      </w:r>
      <w:r w:rsidRPr="008C3CD8">
        <w:rPr>
          <w:sz w:val="28"/>
          <w:szCs w:val="28"/>
        </w:rPr>
        <w:t xml:space="preserve"> của Bộ</w:t>
      </w:r>
      <w:r>
        <w:rPr>
          <w:sz w:val="28"/>
          <w:szCs w:val="28"/>
        </w:rPr>
        <w:t xml:space="preserve"> trưởng Bộ Tài chính</w:t>
      </w:r>
      <w:r w:rsidR="00094D95" w:rsidRPr="00B81FA3">
        <w:rPr>
          <w:sz w:val="28"/>
          <w:szCs w:val="28"/>
        </w:rPr>
        <w:t xml:space="preserve"> quy định mức thu, chế độ thu, nộp, quản lý và sử dụng phí thẩm đ</w:t>
      </w:r>
      <w:r w:rsidR="00094D95">
        <w:rPr>
          <w:sz w:val="28"/>
          <w:szCs w:val="28"/>
        </w:rPr>
        <w:t xml:space="preserve">ịnh phê duyệt thiết kế về </w:t>
      </w:r>
      <w:r>
        <w:rPr>
          <w:sz w:val="28"/>
          <w:szCs w:val="28"/>
        </w:rPr>
        <w:t>phòng cháy và chữa cháy.</w:t>
      </w:r>
    </w:p>
    <w:p w:rsidR="00094D95" w:rsidRDefault="0095059D" w:rsidP="0095059D">
      <w:pPr>
        <w:spacing w:before="120"/>
        <w:ind w:firstLine="720"/>
        <w:jc w:val="both"/>
        <w:rPr>
          <w:sz w:val="28"/>
          <w:szCs w:val="28"/>
        </w:rPr>
      </w:pPr>
      <w:r>
        <w:rPr>
          <w:sz w:val="28"/>
          <w:szCs w:val="28"/>
        </w:rPr>
        <w:t>b) Điều 2</w:t>
      </w:r>
      <w:r w:rsidR="00094D95">
        <w:rPr>
          <w:sz w:val="28"/>
          <w:szCs w:val="28"/>
        </w:rPr>
        <w:t xml:space="preserve"> Thông tư số </w:t>
      </w:r>
      <w:r w:rsidR="00094D95" w:rsidRPr="00404858">
        <w:rPr>
          <w:sz w:val="28"/>
          <w:szCs w:val="28"/>
        </w:rPr>
        <w:t>52/2019/TT-BTC ngày 16</w:t>
      </w:r>
      <w:r>
        <w:rPr>
          <w:sz w:val="28"/>
          <w:szCs w:val="28"/>
        </w:rPr>
        <w:t xml:space="preserve"> tháng </w:t>
      </w:r>
      <w:r w:rsidR="00094D95" w:rsidRPr="00404858">
        <w:rPr>
          <w:sz w:val="28"/>
          <w:szCs w:val="28"/>
        </w:rPr>
        <w:t>8</w:t>
      </w:r>
      <w:r>
        <w:rPr>
          <w:sz w:val="28"/>
          <w:szCs w:val="28"/>
        </w:rPr>
        <w:t xml:space="preserve"> năm </w:t>
      </w:r>
      <w:r w:rsidR="00094D95" w:rsidRPr="00404858">
        <w:rPr>
          <w:sz w:val="28"/>
          <w:szCs w:val="28"/>
        </w:rPr>
        <w:t>2019</w:t>
      </w:r>
      <w:r>
        <w:rPr>
          <w:sz w:val="28"/>
          <w:szCs w:val="28"/>
        </w:rPr>
        <w:t xml:space="preserve"> của Bộ trưởng Bộ Tài chính</w:t>
      </w:r>
      <w:r w:rsidR="00094D95" w:rsidRPr="00404858">
        <w:rPr>
          <w:sz w:val="28"/>
          <w:szCs w:val="28"/>
        </w:rPr>
        <w:t xml:space="preserve"> sửa đổi, bổ sung một số điều của </w:t>
      </w:r>
      <w:r w:rsidRPr="0095059D">
        <w:rPr>
          <w:sz w:val="28"/>
          <w:szCs w:val="28"/>
        </w:rPr>
        <w:t>Thông tư số </w:t>
      </w:r>
      <w:bookmarkStart w:id="2" w:name="tvpllink_gebyqbkifv"/>
      <w:r w:rsidR="007C5CEF" w:rsidRPr="0095059D">
        <w:rPr>
          <w:sz w:val="28"/>
          <w:szCs w:val="28"/>
        </w:rPr>
        <w:fldChar w:fldCharType="begin"/>
      </w:r>
      <w:r w:rsidRPr="0095059D">
        <w:rPr>
          <w:sz w:val="28"/>
          <w:szCs w:val="28"/>
        </w:rPr>
        <w:instrText xml:space="preserve"> HYPERLINK "https://thuvienphapluat.vn/van-ban/Thue-Phi-Le-Phi/Thong-tu-217-2016-TT-BTC-muc-thu-che-do-thu-nop-quan-ly-su-dung-phi-xac-minh-giay-to-tai-lieu-333807.aspx" \t "_blank" </w:instrText>
      </w:r>
      <w:r w:rsidR="007C5CEF" w:rsidRPr="0095059D">
        <w:rPr>
          <w:sz w:val="28"/>
          <w:szCs w:val="28"/>
        </w:rPr>
        <w:fldChar w:fldCharType="separate"/>
      </w:r>
      <w:r w:rsidRPr="0095059D">
        <w:rPr>
          <w:sz w:val="28"/>
          <w:szCs w:val="28"/>
        </w:rPr>
        <w:t>217/2016/TT-BTC</w:t>
      </w:r>
      <w:r w:rsidR="007C5CEF" w:rsidRPr="0095059D">
        <w:rPr>
          <w:sz w:val="28"/>
          <w:szCs w:val="28"/>
        </w:rPr>
        <w:fldChar w:fldCharType="end"/>
      </w:r>
      <w:bookmarkEnd w:id="2"/>
      <w:r w:rsidRPr="0095059D">
        <w:rPr>
          <w:sz w:val="28"/>
          <w:szCs w:val="28"/>
        </w:rPr>
        <w:t> ngày 10 tháng 11 năm 2016 của Bộ trưởng Bộ Tài chính quy định mức thu, chế độ thu, nộp, quản lý và sử dụng phí xác minh giấy tờ, tài liệu theo yêu cầu của cá nhân; Thông tư số </w:t>
      </w:r>
      <w:bookmarkStart w:id="3" w:name="tvpllink_kiznfajcuw"/>
      <w:r w:rsidR="007C5CEF" w:rsidRPr="0095059D">
        <w:rPr>
          <w:sz w:val="28"/>
          <w:szCs w:val="28"/>
        </w:rPr>
        <w:fldChar w:fldCharType="begin"/>
      </w:r>
      <w:r w:rsidRPr="0095059D">
        <w:rPr>
          <w:sz w:val="28"/>
          <w:szCs w:val="28"/>
        </w:rPr>
        <w:instrText xml:space="preserve"> HYPERLINK "https://thuvienphapluat.vn/van-ban/Tai-chinh-nha-nuoc/Thong-tu-258-2016-TT-BTC-phi-tham-dinh-phe-duyet-thiet-ke-phong-chay-va-chua-chay-332297.aspx" \t "_blank" </w:instrText>
      </w:r>
      <w:r w:rsidR="007C5CEF" w:rsidRPr="0095059D">
        <w:rPr>
          <w:sz w:val="28"/>
          <w:szCs w:val="28"/>
        </w:rPr>
        <w:fldChar w:fldCharType="separate"/>
      </w:r>
      <w:r w:rsidRPr="0095059D">
        <w:rPr>
          <w:sz w:val="28"/>
          <w:szCs w:val="28"/>
        </w:rPr>
        <w:t>258/2016/TT-BTC</w:t>
      </w:r>
      <w:r w:rsidR="007C5CEF" w:rsidRPr="0095059D">
        <w:rPr>
          <w:sz w:val="28"/>
          <w:szCs w:val="28"/>
        </w:rPr>
        <w:fldChar w:fldCharType="end"/>
      </w:r>
      <w:bookmarkEnd w:id="3"/>
      <w:r w:rsidRPr="0095059D">
        <w:rPr>
          <w:sz w:val="28"/>
          <w:szCs w:val="28"/>
        </w:rPr>
        <w:t> ngày 11 tháng 11 năm 2016 của Bộ trưởng Bộ Tài chính quy định mức thu, chế độ thu, nộp, quản lý và sử dụng phí thẩm định phê duyệt thiết kế phòng cháy và chữa cháy.</w:t>
      </w:r>
    </w:p>
    <w:p w:rsidR="00F469CE" w:rsidRPr="008C3CD8" w:rsidRDefault="00307CB0" w:rsidP="00F469CE">
      <w:pPr>
        <w:spacing w:before="120"/>
        <w:ind w:firstLine="720"/>
        <w:jc w:val="both"/>
        <w:rPr>
          <w:sz w:val="28"/>
          <w:szCs w:val="28"/>
        </w:rPr>
      </w:pPr>
      <w:r w:rsidRPr="008C3CD8">
        <w:rPr>
          <w:sz w:val="28"/>
          <w:szCs w:val="28"/>
        </w:rPr>
        <w:t>2. Các</w:t>
      </w:r>
      <w:r w:rsidR="00F469CE" w:rsidRPr="008C3CD8">
        <w:rPr>
          <w:sz w:val="28"/>
          <w:szCs w:val="28"/>
        </w:rPr>
        <w:t xml:space="preserve"> </w:t>
      </w:r>
      <w:r w:rsidRPr="008C3CD8">
        <w:rPr>
          <w:sz w:val="28"/>
          <w:szCs w:val="28"/>
        </w:rPr>
        <w:t xml:space="preserve">hồ sơ đề nghị thẩm </w:t>
      </w:r>
      <w:r w:rsidR="00B65B92" w:rsidRPr="00A25B08">
        <w:rPr>
          <w:sz w:val="28"/>
          <w:szCs w:val="28"/>
          <w:lang w:val="pt-BR"/>
        </w:rPr>
        <w:t xml:space="preserve">định </w:t>
      </w:r>
      <w:r w:rsidR="00306E8F" w:rsidRPr="00A25B08">
        <w:rPr>
          <w:sz w:val="28"/>
          <w:szCs w:val="28"/>
          <w:lang w:val="pt-BR"/>
        </w:rPr>
        <w:t>t</w:t>
      </w:r>
      <w:r w:rsidR="00306E8F" w:rsidRPr="008C3CD8">
        <w:rPr>
          <w:sz w:val="28"/>
          <w:szCs w:val="28"/>
        </w:rPr>
        <w:t>hiết kế về phòng cháy và chữa cháy</w:t>
      </w:r>
      <w:r w:rsidRPr="008C3CD8">
        <w:rPr>
          <w:sz w:val="28"/>
          <w:szCs w:val="28"/>
        </w:rPr>
        <w:t xml:space="preserve"> đã nộp </w:t>
      </w:r>
      <w:r w:rsidR="00F469CE" w:rsidRPr="008C3CD8">
        <w:rPr>
          <w:sz w:val="28"/>
          <w:szCs w:val="28"/>
        </w:rPr>
        <w:t xml:space="preserve">trước </w:t>
      </w:r>
      <w:r w:rsidRPr="008C3CD8">
        <w:rPr>
          <w:sz w:val="28"/>
          <w:szCs w:val="28"/>
        </w:rPr>
        <w:t xml:space="preserve">ngày </w:t>
      </w:r>
      <w:r w:rsidR="00F469CE" w:rsidRPr="008C3CD8">
        <w:rPr>
          <w:sz w:val="28"/>
          <w:szCs w:val="28"/>
        </w:rPr>
        <w:t xml:space="preserve">Thông tư này có hiệu lực thi hành nhưng </w:t>
      </w:r>
      <w:r w:rsidR="00B65B92" w:rsidRPr="008C3CD8">
        <w:rPr>
          <w:sz w:val="28"/>
          <w:szCs w:val="28"/>
        </w:rPr>
        <w:t xml:space="preserve">được cấp văn bản thẩm </w:t>
      </w:r>
      <w:r w:rsidR="00B65B92" w:rsidRPr="00A25B08">
        <w:rPr>
          <w:sz w:val="28"/>
          <w:szCs w:val="28"/>
          <w:lang w:val="pt-BR"/>
        </w:rPr>
        <w:t>định</w:t>
      </w:r>
      <w:r w:rsidR="007A4E14" w:rsidRPr="00A25B08">
        <w:rPr>
          <w:sz w:val="28"/>
          <w:szCs w:val="28"/>
          <w:lang w:val="pt-BR"/>
        </w:rPr>
        <w:t xml:space="preserve"> t</w:t>
      </w:r>
      <w:r w:rsidR="007A4E14" w:rsidRPr="008C3CD8">
        <w:rPr>
          <w:sz w:val="28"/>
          <w:szCs w:val="28"/>
        </w:rPr>
        <w:t>hiết kế</w:t>
      </w:r>
      <w:r w:rsidR="00786E3A" w:rsidRPr="008C3CD8">
        <w:rPr>
          <w:sz w:val="28"/>
          <w:szCs w:val="28"/>
        </w:rPr>
        <w:t xml:space="preserve"> về phòng cháy và chữa cháy </w:t>
      </w:r>
      <w:r w:rsidR="00F469CE" w:rsidRPr="008C3CD8">
        <w:rPr>
          <w:sz w:val="28"/>
          <w:szCs w:val="28"/>
        </w:rPr>
        <w:t xml:space="preserve">sau </w:t>
      </w:r>
      <w:r w:rsidR="00786E3A" w:rsidRPr="008C3CD8">
        <w:rPr>
          <w:sz w:val="28"/>
          <w:szCs w:val="28"/>
        </w:rPr>
        <w:t>ngày</w:t>
      </w:r>
      <w:r w:rsidR="00F469CE" w:rsidRPr="008C3CD8">
        <w:rPr>
          <w:sz w:val="28"/>
          <w:szCs w:val="28"/>
        </w:rPr>
        <w:t xml:space="preserve"> Thông tư này có hiệu lực thi hành thì thực hiện thu phí theo quy định tại Thông tư này. </w:t>
      </w:r>
    </w:p>
    <w:p w:rsidR="00094D95" w:rsidRPr="0029575F" w:rsidRDefault="00F469CE" w:rsidP="00A25B08">
      <w:pPr>
        <w:pStyle w:val="Heading2"/>
        <w:spacing w:before="120"/>
        <w:rPr>
          <w:rFonts w:ascii="Times New Roman" w:hAnsi="Times New Roman"/>
          <w:i w:val="0"/>
          <w:szCs w:val="28"/>
        </w:rPr>
      </w:pPr>
      <w:r w:rsidRPr="0029575F">
        <w:rPr>
          <w:rFonts w:ascii="Times New Roman" w:hAnsi="Times New Roman"/>
          <w:i w:val="0"/>
          <w:szCs w:val="28"/>
        </w:rPr>
        <w:t>3</w:t>
      </w:r>
      <w:r w:rsidR="0052215B" w:rsidRPr="0029575F">
        <w:rPr>
          <w:rFonts w:ascii="Times New Roman" w:hAnsi="Times New Roman"/>
          <w:i w:val="0"/>
          <w:szCs w:val="28"/>
        </w:rPr>
        <w:t>. Các nội dung khác liên quan đến việc thu, nộp, quản lý, sử dụng, chứng từ thu, công khai chế độ thu phí không đề cập tại Thông tư này được th</w:t>
      </w:r>
      <w:r w:rsidR="008D6727" w:rsidRPr="0029575F">
        <w:rPr>
          <w:rFonts w:ascii="Times New Roman" w:hAnsi="Times New Roman"/>
          <w:i w:val="0"/>
          <w:szCs w:val="28"/>
        </w:rPr>
        <w:t xml:space="preserve">ực hiện theo quy định tại </w:t>
      </w:r>
      <w:r w:rsidR="00094D95" w:rsidRPr="0029575F">
        <w:rPr>
          <w:rFonts w:ascii="Times New Roman" w:hAnsi="Times New Roman"/>
          <w:i w:val="0"/>
          <w:szCs w:val="28"/>
        </w:rPr>
        <w:t xml:space="preserve">các văn bản: Luật Phí và lệ phí; Nghị định số 120/2016/NĐ-CP ngày 23 tháng 8 năm 2016 của Chính phủ quy định chi tiết và hướng dẫn thi hành một số điều của Luật Phí và lệ phí; Nghị định số </w:t>
      </w:r>
      <w:r w:rsidR="00094D95" w:rsidRPr="0029575F">
        <w:rPr>
          <w:rFonts w:ascii="Times New Roman" w:hAnsi="Times New Roman"/>
          <w:i w:val="0"/>
          <w:szCs w:val="28"/>
        </w:rPr>
        <w:lastRenderedPageBreak/>
        <w:t>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r w:rsidR="002F16B7" w:rsidRPr="0029575F">
        <w:rPr>
          <w:rFonts w:ascii="Times New Roman" w:hAnsi="Times New Roman"/>
          <w:i w:val="0"/>
          <w:szCs w:val="28"/>
        </w:rPr>
        <w:t>; Nghị định số 70/2025/NĐ-CP ngày 20 tháng 3 năm 2025 của Chính phủ sửa đổi, bổ sung một số điều của Nghị định số 123/2020/NĐ-CP ngày 19 tháng 10 năm 2020 của Chính phủ quy định về hóa đơn, chứng từ</w:t>
      </w:r>
      <w:r w:rsidR="00094D95" w:rsidRPr="0029575F">
        <w:rPr>
          <w:rFonts w:ascii="Times New Roman" w:hAnsi="Times New Roman"/>
          <w:i w:val="0"/>
          <w:szCs w:val="28"/>
        </w:rPr>
        <w:t xml:space="preserve">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sidR="00094D95" w:rsidRPr="00A25B08" w:rsidRDefault="00094D95" w:rsidP="00A25B08">
      <w:pPr>
        <w:pStyle w:val="Heading2"/>
        <w:spacing w:before="120"/>
        <w:rPr>
          <w:rFonts w:ascii="Times New Roman" w:hAnsi="Times New Roman"/>
          <w:i w:val="0"/>
          <w:szCs w:val="28"/>
          <w:lang w:val="pt-BR"/>
        </w:rPr>
      </w:pPr>
      <w:r w:rsidRPr="00A25B08">
        <w:rPr>
          <w:rFonts w:ascii="Times New Roman" w:hAnsi="Times New Roman"/>
          <w:i w:val="0"/>
          <w:szCs w:val="28"/>
          <w:lang w:val="pt-BR"/>
        </w:rPr>
        <w:t>4. Trong quá trình thực hiện, nếu các văn bản liên quan viện dẫn tại Thông tư này được sửa đổi, bổ sung hoặc thay thế thì thực hiện theo văn bản mới sửa đổi, bổ sung hoặc thay thế.</w:t>
      </w:r>
    </w:p>
    <w:p w:rsidR="00486B9D" w:rsidRDefault="00094D95" w:rsidP="000447DA">
      <w:pPr>
        <w:widowControl w:val="0"/>
        <w:spacing w:before="120"/>
        <w:ind w:firstLine="720"/>
        <w:jc w:val="both"/>
        <w:rPr>
          <w:sz w:val="28"/>
          <w:szCs w:val="28"/>
        </w:rPr>
      </w:pPr>
      <w:r w:rsidRPr="00A25B08">
        <w:rPr>
          <w:sz w:val="28"/>
          <w:szCs w:val="28"/>
        </w:rPr>
        <w:t>5</w:t>
      </w:r>
      <w:r w:rsidR="00486B9D" w:rsidRPr="00A25B08">
        <w:rPr>
          <w:sz w:val="28"/>
          <w:szCs w:val="28"/>
        </w:rPr>
        <w:t>. Trong quá trình thực hiện, nếu có vướng mắc</w:t>
      </w:r>
      <w:r w:rsidR="0005235C">
        <w:rPr>
          <w:sz w:val="28"/>
          <w:szCs w:val="28"/>
        </w:rPr>
        <w:t>,</w:t>
      </w:r>
      <w:r w:rsidR="00486B9D" w:rsidRPr="00A25B08">
        <w:rPr>
          <w:sz w:val="28"/>
          <w:szCs w:val="28"/>
        </w:rPr>
        <w:t xml:space="preserve"> đề nghị các tổ chức, cá nhân phản ánh kịp thời về Bộ Tài chính để nghiên cứu, hướng dẫn bổ sung</w:t>
      </w:r>
      <w:proofErr w:type="gramStart"/>
      <w:r w:rsidR="00486B9D" w:rsidRPr="00A25B08">
        <w:rPr>
          <w:sz w:val="28"/>
          <w:szCs w:val="28"/>
        </w:rPr>
        <w:t>./</w:t>
      </w:r>
      <w:proofErr w:type="gramEnd"/>
      <w:r w:rsidR="00486B9D" w:rsidRPr="00A25B08">
        <w:rPr>
          <w:sz w:val="28"/>
          <w:szCs w:val="28"/>
        </w:rPr>
        <w:t>.</w:t>
      </w:r>
    </w:p>
    <w:p w:rsidR="00873295" w:rsidRPr="00A25B08" w:rsidRDefault="00873295" w:rsidP="000447DA">
      <w:pPr>
        <w:widowControl w:val="0"/>
        <w:spacing w:before="120"/>
        <w:ind w:firstLine="720"/>
        <w:jc w:val="both"/>
        <w:rPr>
          <w:sz w:val="28"/>
          <w:szCs w:val="28"/>
        </w:rPr>
      </w:pPr>
    </w:p>
    <w:tbl>
      <w:tblPr>
        <w:tblW w:w="5142" w:type="pct"/>
        <w:tblLook w:val="01E0"/>
      </w:tblPr>
      <w:tblGrid>
        <w:gridCol w:w="5685"/>
        <w:gridCol w:w="3526"/>
      </w:tblGrid>
      <w:tr w:rsidR="009C2B2F" w:rsidRPr="009548A7">
        <w:tc>
          <w:tcPr>
            <w:tcW w:w="3086" w:type="pct"/>
          </w:tcPr>
          <w:p w:rsidR="009C2B2F" w:rsidRPr="009548A7" w:rsidRDefault="009C2B2F" w:rsidP="00BA4E41">
            <w:pPr>
              <w:jc w:val="both"/>
              <w:rPr>
                <w:b/>
                <w:i/>
                <w:lang w:val="pt-BR"/>
              </w:rPr>
            </w:pPr>
            <w:r w:rsidRPr="009548A7">
              <w:rPr>
                <w:b/>
                <w:i/>
                <w:lang w:val="pt-BR"/>
              </w:rPr>
              <w:t>Nơi nhận:</w:t>
            </w:r>
          </w:p>
        </w:tc>
        <w:tc>
          <w:tcPr>
            <w:tcW w:w="1914" w:type="pct"/>
          </w:tcPr>
          <w:p w:rsidR="009C2B2F" w:rsidRPr="009548A7" w:rsidRDefault="009C2B2F" w:rsidP="00FF61E6">
            <w:pPr>
              <w:jc w:val="center"/>
              <w:rPr>
                <w:b/>
                <w:sz w:val="26"/>
                <w:szCs w:val="26"/>
                <w:lang w:val="pt-BR"/>
              </w:rPr>
            </w:pPr>
            <w:r w:rsidRPr="009548A7">
              <w:rPr>
                <w:b/>
                <w:sz w:val="26"/>
                <w:szCs w:val="26"/>
                <w:lang w:val="pt-BR"/>
              </w:rPr>
              <w:t>KT. BỘ TRƯỞNG</w:t>
            </w:r>
          </w:p>
        </w:tc>
      </w:tr>
      <w:tr w:rsidR="009C2B2F" w:rsidRPr="009548A7">
        <w:trPr>
          <w:trHeight w:val="1290"/>
        </w:trPr>
        <w:tc>
          <w:tcPr>
            <w:tcW w:w="3086" w:type="pct"/>
            <w:vMerge w:val="restart"/>
          </w:tcPr>
          <w:p w:rsidR="007C1969" w:rsidRPr="00690A46" w:rsidRDefault="007C1969" w:rsidP="007C1969">
            <w:pPr>
              <w:widowControl w:val="0"/>
              <w:jc w:val="both"/>
              <w:rPr>
                <w:sz w:val="22"/>
                <w:szCs w:val="22"/>
                <w:lang w:val="vi-VN"/>
              </w:rPr>
            </w:pPr>
            <w:r w:rsidRPr="00690A46">
              <w:rPr>
                <w:sz w:val="22"/>
                <w:szCs w:val="22"/>
                <w:lang w:val="vi-VN"/>
              </w:rPr>
              <w:t>- Ban Bí thư Trung ương Đảng;</w:t>
            </w:r>
          </w:p>
          <w:p w:rsidR="007C1969" w:rsidRPr="00690A46" w:rsidRDefault="007C1969" w:rsidP="007C1969">
            <w:pPr>
              <w:rPr>
                <w:sz w:val="22"/>
                <w:szCs w:val="22"/>
                <w:lang w:val="vi-VN"/>
              </w:rPr>
            </w:pPr>
            <w:r w:rsidRPr="00690A46">
              <w:rPr>
                <w:sz w:val="22"/>
                <w:szCs w:val="22"/>
                <w:lang w:val="vi-VN"/>
              </w:rPr>
              <w:t>- Thủ tướng, các Phó Thủ tướng Chính phủ;</w:t>
            </w:r>
          </w:p>
          <w:p w:rsidR="007C1969" w:rsidRPr="00690A46" w:rsidRDefault="007C1969" w:rsidP="007C1969">
            <w:pPr>
              <w:rPr>
                <w:b/>
                <w:i/>
                <w:sz w:val="22"/>
                <w:szCs w:val="22"/>
                <w:lang w:val="vi-VN"/>
              </w:rPr>
            </w:pPr>
            <w:r w:rsidRPr="00690A46">
              <w:rPr>
                <w:sz w:val="22"/>
                <w:szCs w:val="22"/>
                <w:lang w:val="vi-VN"/>
              </w:rPr>
              <w:t>- Văn phòng Trung ương Đảng và các Ban của Đảng;</w:t>
            </w:r>
          </w:p>
          <w:p w:rsidR="007C1969" w:rsidRPr="00690A46" w:rsidRDefault="007C1969" w:rsidP="007C1969">
            <w:pPr>
              <w:textAlignment w:val="baseline"/>
              <w:rPr>
                <w:sz w:val="22"/>
                <w:szCs w:val="22"/>
                <w:lang w:val="vi-VN"/>
              </w:rPr>
            </w:pPr>
            <w:r w:rsidRPr="00690A46">
              <w:rPr>
                <w:sz w:val="22"/>
                <w:szCs w:val="22"/>
                <w:lang w:val="vi-VN"/>
              </w:rPr>
              <w:t>- Văn phòng Tổng Bí thư;</w:t>
            </w:r>
          </w:p>
          <w:p w:rsidR="007C1969" w:rsidRPr="008C3CD8" w:rsidRDefault="007C1969" w:rsidP="007C1969">
            <w:pPr>
              <w:textAlignment w:val="baseline"/>
              <w:rPr>
                <w:sz w:val="22"/>
                <w:szCs w:val="22"/>
                <w:lang w:val="vi-VN"/>
              </w:rPr>
            </w:pPr>
            <w:r w:rsidRPr="00690A46">
              <w:rPr>
                <w:sz w:val="22"/>
                <w:szCs w:val="22"/>
                <w:lang w:val="vi-VN"/>
              </w:rPr>
              <w:t>- Văn phòng Quốc hội</w:t>
            </w:r>
            <w:r w:rsidRPr="008C3CD8">
              <w:rPr>
                <w:sz w:val="22"/>
                <w:szCs w:val="22"/>
                <w:lang w:val="vi-VN"/>
              </w:rPr>
              <w:t>;</w:t>
            </w:r>
          </w:p>
          <w:p w:rsidR="007C1969" w:rsidRPr="00690A46" w:rsidRDefault="007C1969" w:rsidP="007C1969">
            <w:pPr>
              <w:textAlignment w:val="baseline"/>
              <w:rPr>
                <w:sz w:val="22"/>
                <w:szCs w:val="22"/>
                <w:lang w:val="vi-VN"/>
              </w:rPr>
            </w:pPr>
            <w:r w:rsidRPr="008C3CD8">
              <w:rPr>
                <w:sz w:val="22"/>
                <w:szCs w:val="22"/>
                <w:lang w:val="vi-VN"/>
              </w:rPr>
              <w:t xml:space="preserve">- </w:t>
            </w:r>
            <w:r w:rsidRPr="00690A46">
              <w:rPr>
                <w:sz w:val="22"/>
                <w:szCs w:val="22"/>
                <w:lang w:val="vi-VN"/>
              </w:rPr>
              <w:t xml:space="preserve">Hội đồng </w:t>
            </w:r>
            <w:r w:rsidRPr="008C3CD8">
              <w:rPr>
                <w:sz w:val="22"/>
                <w:szCs w:val="22"/>
                <w:lang w:val="vi-VN"/>
              </w:rPr>
              <w:t>D</w:t>
            </w:r>
            <w:r w:rsidRPr="00690A46">
              <w:rPr>
                <w:sz w:val="22"/>
                <w:szCs w:val="22"/>
                <w:lang w:val="vi-VN"/>
              </w:rPr>
              <w:t xml:space="preserve">ân tộc; </w:t>
            </w:r>
          </w:p>
          <w:p w:rsidR="007C1969" w:rsidRPr="00307CD1" w:rsidRDefault="007C1969" w:rsidP="007C1969">
            <w:pPr>
              <w:textAlignment w:val="baseline"/>
              <w:rPr>
                <w:sz w:val="22"/>
                <w:szCs w:val="22"/>
              </w:rPr>
            </w:pPr>
            <w:r w:rsidRPr="009E252A">
              <w:rPr>
                <w:sz w:val="22"/>
                <w:szCs w:val="22"/>
                <w:lang w:val="vi-VN"/>
              </w:rPr>
              <w:t xml:space="preserve">- </w:t>
            </w:r>
            <w:r w:rsidRPr="008C3CD8">
              <w:rPr>
                <w:sz w:val="22"/>
                <w:szCs w:val="22"/>
              </w:rPr>
              <w:t>Ủy ban Kinh tế và Tài chính;</w:t>
            </w:r>
          </w:p>
          <w:p w:rsidR="007C1969" w:rsidRPr="00690A46" w:rsidRDefault="007C1969" w:rsidP="007C1969">
            <w:pPr>
              <w:textAlignment w:val="baseline"/>
              <w:rPr>
                <w:sz w:val="22"/>
                <w:szCs w:val="22"/>
                <w:lang w:val="vi-VN"/>
              </w:rPr>
            </w:pPr>
            <w:r w:rsidRPr="00690A46">
              <w:rPr>
                <w:sz w:val="22"/>
                <w:szCs w:val="22"/>
                <w:lang w:val="vi-VN"/>
              </w:rPr>
              <w:t>- Văn phòng Chủ tịch nước;</w:t>
            </w:r>
          </w:p>
          <w:p w:rsidR="007C1969" w:rsidRPr="00690A46" w:rsidRDefault="007C1969" w:rsidP="007C1969">
            <w:pPr>
              <w:textAlignment w:val="baseline"/>
              <w:rPr>
                <w:sz w:val="22"/>
                <w:szCs w:val="22"/>
                <w:lang w:val="vi-VN"/>
              </w:rPr>
            </w:pPr>
            <w:r w:rsidRPr="00690A46">
              <w:rPr>
                <w:sz w:val="22"/>
                <w:szCs w:val="22"/>
                <w:lang w:val="vi-VN"/>
              </w:rPr>
              <w:t xml:space="preserve">- Viện </w:t>
            </w:r>
            <w:r w:rsidRPr="008C3CD8">
              <w:rPr>
                <w:sz w:val="22"/>
                <w:szCs w:val="22"/>
                <w:lang w:val="vi-VN"/>
              </w:rPr>
              <w:t>k</w:t>
            </w:r>
            <w:r w:rsidRPr="00690A46">
              <w:rPr>
                <w:sz w:val="22"/>
                <w:szCs w:val="22"/>
                <w:lang w:val="vi-VN"/>
              </w:rPr>
              <w:t>iểm sát nhân dân tối cao;</w:t>
            </w:r>
          </w:p>
          <w:p w:rsidR="007C1969" w:rsidRPr="00690A46" w:rsidRDefault="007C1969" w:rsidP="007C1969">
            <w:pPr>
              <w:textAlignment w:val="baseline"/>
              <w:rPr>
                <w:sz w:val="22"/>
                <w:szCs w:val="22"/>
                <w:lang w:val="vi-VN"/>
              </w:rPr>
            </w:pPr>
            <w:r w:rsidRPr="00690A46">
              <w:rPr>
                <w:sz w:val="22"/>
                <w:szCs w:val="22"/>
                <w:lang w:val="vi-VN"/>
              </w:rPr>
              <w:t xml:space="preserve">- Toà án nhân dân tối cao; </w:t>
            </w:r>
          </w:p>
          <w:p w:rsidR="007C1969" w:rsidRPr="00690A46" w:rsidRDefault="007C1969" w:rsidP="007C1969">
            <w:pPr>
              <w:textAlignment w:val="baseline"/>
              <w:rPr>
                <w:sz w:val="22"/>
                <w:szCs w:val="22"/>
                <w:lang w:val="vi-VN"/>
              </w:rPr>
            </w:pPr>
            <w:r w:rsidRPr="00690A46">
              <w:rPr>
                <w:sz w:val="22"/>
                <w:szCs w:val="22"/>
                <w:lang w:val="vi-VN"/>
              </w:rPr>
              <w:t>- Kiể</w:t>
            </w:r>
            <w:r>
              <w:rPr>
                <w:sz w:val="22"/>
                <w:szCs w:val="22"/>
                <w:lang w:val="vi-VN"/>
              </w:rPr>
              <w:t xml:space="preserve">m toán </w:t>
            </w:r>
            <w:r w:rsidRPr="008C3CD8">
              <w:rPr>
                <w:sz w:val="22"/>
                <w:szCs w:val="22"/>
                <w:lang w:val="vi-VN"/>
              </w:rPr>
              <w:t>n</w:t>
            </w:r>
            <w:r w:rsidRPr="00690A46">
              <w:rPr>
                <w:sz w:val="22"/>
                <w:szCs w:val="22"/>
                <w:lang w:val="vi-VN"/>
              </w:rPr>
              <w:t>hà nước;</w:t>
            </w:r>
          </w:p>
          <w:p w:rsidR="007C1969" w:rsidRPr="008C3CD8" w:rsidRDefault="007C1969" w:rsidP="007C1969">
            <w:pPr>
              <w:textAlignment w:val="baseline"/>
              <w:rPr>
                <w:sz w:val="22"/>
                <w:szCs w:val="22"/>
                <w:lang w:val="vi-VN"/>
              </w:rPr>
            </w:pPr>
            <w:r w:rsidRPr="00690A46">
              <w:rPr>
                <w:sz w:val="22"/>
                <w:szCs w:val="22"/>
                <w:lang w:val="vi-VN"/>
              </w:rPr>
              <w:t xml:space="preserve">- Cơ quan </w:t>
            </w:r>
            <w:r w:rsidRPr="008C3CD8">
              <w:rPr>
                <w:sz w:val="22"/>
                <w:szCs w:val="22"/>
                <w:lang w:val="vi-VN"/>
              </w:rPr>
              <w:t>t</w:t>
            </w:r>
            <w:r w:rsidRPr="00690A46">
              <w:rPr>
                <w:sz w:val="22"/>
                <w:szCs w:val="22"/>
                <w:lang w:val="vi-VN"/>
              </w:rPr>
              <w:t xml:space="preserve">rung ương của các </w:t>
            </w:r>
            <w:r w:rsidRPr="008C3CD8">
              <w:rPr>
                <w:sz w:val="22"/>
                <w:szCs w:val="22"/>
                <w:lang w:val="vi-VN"/>
              </w:rPr>
              <w:t>đ</w:t>
            </w:r>
            <w:r w:rsidRPr="00690A46">
              <w:rPr>
                <w:sz w:val="22"/>
                <w:szCs w:val="22"/>
                <w:lang w:val="vi-VN"/>
              </w:rPr>
              <w:t>oàn thể;</w:t>
            </w:r>
          </w:p>
          <w:p w:rsidR="007C1969" w:rsidRPr="00690A46" w:rsidRDefault="007C1969" w:rsidP="007C1969">
            <w:pPr>
              <w:textAlignment w:val="baseline"/>
              <w:rPr>
                <w:sz w:val="22"/>
                <w:szCs w:val="22"/>
                <w:lang w:val="vi-VN"/>
              </w:rPr>
            </w:pPr>
            <w:r w:rsidRPr="00690A46">
              <w:rPr>
                <w:sz w:val="22"/>
                <w:szCs w:val="22"/>
                <w:lang w:val="vi-VN"/>
              </w:rPr>
              <w:t xml:space="preserve">- Các </w:t>
            </w:r>
            <w:r w:rsidRPr="008C3CD8">
              <w:rPr>
                <w:sz w:val="22"/>
                <w:szCs w:val="22"/>
                <w:lang w:val="vi-VN"/>
              </w:rPr>
              <w:t>b</w:t>
            </w:r>
            <w:r w:rsidRPr="00690A46">
              <w:rPr>
                <w:sz w:val="22"/>
                <w:szCs w:val="22"/>
                <w:lang w:val="vi-VN"/>
              </w:rPr>
              <w:t xml:space="preserve">ộ, cơ quan ngang </w:t>
            </w:r>
            <w:r w:rsidRPr="008C3CD8">
              <w:rPr>
                <w:sz w:val="22"/>
                <w:szCs w:val="22"/>
                <w:lang w:val="vi-VN"/>
              </w:rPr>
              <w:t>b</w:t>
            </w:r>
            <w:r w:rsidRPr="00690A46">
              <w:rPr>
                <w:sz w:val="22"/>
                <w:szCs w:val="22"/>
                <w:lang w:val="vi-VN"/>
              </w:rPr>
              <w:t>ộ, cơ quan thuộc Chính phủ;</w:t>
            </w:r>
          </w:p>
          <w:p w:rsidR="007C1969" w:rsidRPr="00690A46" w:rsidRDefault="007C1969" w:rsidP="007C1969">
            <w:pPr>
              <w:textAlignment w:val="baseline"/>
              <w:rPr>
                <w:sz w:val="22"/>
                <w:szCs w:val="22"/>
                <w:lang w:val="vi-VN"/>
              </w:rPr>
            </w:pPr>
            <w:r w:rsidRPr="00690A46">
              <w:rPr>
                <w:sz w:val="22"/>
                <w:szCs w:val="22"/>
                <w:lang w:val="vi-VN"/>
              </w:rPr>
              <w:t>- HĐND, UBND các tỉnh, thành phố trực thuộc trung ương;</w:t>
            </w:r>
          </w:p>
          <w:p w:rsidR="007C1969" w:rsidRPr="008C3CD8" w:rsidRDefault="007C1969" w:rsidP="007C1969">
            <w:pPr>
              <w:textAlignment w:val="baseline"/>
              <w:rPr>
                <w:sz w:val="22"/>
                <w:szCs w:val="22"/>
                <w:lang w:val="vi-VN"/>
              </w:rPr>
            </w:pPr>
            <w:r w:rsidRPr="008C3CD8">
              <w:rPr>
                <w:sz w:val="22"/>
                <w:szCs w:val="22"/>
                <w:lang w:val="vi-VN"/>
              </w:rPr>
              <w:t>- Sở Tài chính các tỉnh, thành phố trực thuộc trung ương;</w:t>
            </w:r>
          </w:p>
          <w:p w:rsidR="007C1969" w:rsidRPr="008C3CD8" w:rsidRDefault="007C1969" w:rsidP="007C1969">
            <w:pPr>
              <w:textAlignment w:val="baseline"/>
              <w:rPr>
                <w:sz w:val="22"/>
                <w:szCs w:val="22"/>
                <w:lang w:val="vi-VN"/>
              </w:rPr>
            </w:pPr>
            <w:r w:rsidRPr="008C3CD8">
              <w:rPr>
                <w:sz w:val="22"/>
                <w:szCs w:val="22"/>
                <w:lang w:val="vi-VN"/>
              </w:rPr>
              <w:t>- Chi cục Thuế, Kho bạc Nhà nước các khu vực;</w:t>
            </w:r>
          </w:p>
          <w:p w:rsidR="007C1969" w:rsidRPr="00690A46" w:rsidRDefault="007C1969" w:rsidP="007C1969">
            <w:pPr>
              <w:textAlignment w:val="baseline"/>
              <w:rPr>
                <w:sz w:val="22"/>
                <w:szCs w:val="22"/>
                <w:lang w:val="vi-VN"/>
              </w:rPr>
            </w:pPr>
            <w:r w:rsidRPr="00690A46">
              <w:rPr>
                <w:sz w:val="22"/>
                <w:szCs w:val="22"/>
                <w:lang w:val="vi-VN"/>
              </w:rPr>
              <w:t xml:space="preserve">- Cục Kiểm tra văn bản </w:t>
            </w:r>
            <w:r w:rsidRPr="008C3CD8">
              <w:rPr>
                <w:sz w:val="22"/>
                <w:szCs w:val="22"/>
                <w:lang w:val="vi-VN"/>
              </w:rPr>
              <w:t>và Quản lý xử lý vi phạm hành chính</w:t>
            </w:r>
            <w:r w:rsidRPr="00690A46">
              <w:rPr>
                <w:sz w:val="22"/>
                <w:szCs w:val="22"/>
                <w:lang w:val="vi-VN"/>
              </w:rPr>
              <w:t>, Bộ Tư pháp;</w:t>
            </w:r>
          </w:p>
          <w:p w:rsidR="007C1969" w:rsidRPr="008C3CD8" w:rsidRDefault="007C1969" w:rsidP="007C1969">
            <w:pPr>
              <w:textAlignment w:val="baseline"/>
              <w:rPr>
                <w:sz w:val="22"/>
                <w:szCs w:val="22"/>
                <w:lang w:val="vi-VN"/>
              </w:rPr>
            </w:pPr>
            <w:r w:rsidRPr="00690A46">
              <w:rPr>
                <w:sz w:val="22"/>
                <w:szCs w:val="22"/>
                <w:lang w:val="vi-VN"/>
              </w:rPr>
              <w:t>- Công báo</w:t>
            </w:r>
            <w:r w:rsidRPr="008C3CD8">
              <w:rPr>
                <w:sz w:val="22"/>
                <w:szCs w:val="22"/>
                <w:lang w:val="vi-VN"/>
              </w:rPr>
              <w:t>;</w:t>
            </w:r>
          </w:p>
          <w:p w:rsidR="007C1969" w:rsidRPr="00690A46" w:rsidRDefault="007C1969" w:rsidP="007C1969">
            <w:pPr>
              <w:textAlignment w:val="baseline"/>
              <w:rPr>
                <w:sz w:val="22"/>
                <w:szCs w:val="22"/>
                <w:lang w:val="vi-VN"/>
              </w:rPr>
            </w:pPr>
            <w:r w:rsidRPr="008C3CD8">
              <w:rPr>
                <w:sz w:val="22"/>
                <w:szCs w:val="22"/>
                <w:lang w:val="vi-VN"/>
              </w:rPr>
              <w:t xml:space="preserve">- </w:t>
            </w:r>
            <w:r w:rsidRPr="00690A46">
              <w:rPr>
                <w:sz w:val="22"/>
                <w:szCs w:val="22"/>
                <w:lang w:val="vi-VN"/>
              </w:rPr>
              <w:t xml:space="preserve">Cổng </w:t>
            </w:r>
            <w:r w:rsidRPr="008C3CD8">
              <w:rPr>
                <w:sz w:val="22"/>
                <w:szCs w:val="22"/>
                <w:lang w:val="vi-VN"/>
              </w:rPr>
              <w:t>T</w:t>
            </w:r>
            <w:r w:rsidRPr="00690A46">
              <w:rPr>
                <w:sz w:val="22"/>
                <w:szCs w:val="22"/>
                <w:lang w:val="vi-VN"/>
              </w:rPr>
              <w:t>hông tin điện tử Chính phủ;</w:t>
            </w:r>
          </w:p>
          <w:p w:rsidR="007C1969" w:rsidRPr="00690A46" w:rsidRDefault="007C1969" w:rsidP="007C1969">
            <w:pPr>
              <w:textAlignment w:val="baseline"/>
              <w:rPr>
                <w:sz w:val="22"/>
                <w:szCs w:val="22"/>
                <w:lang w:val="vi-VN"/>
              </w:rPr>
            </w:pPr>
            <w:r w:rsidRPr="00690A46">
              <w:rPr>
                <w:sz w:val="22"/>
                <w:szCs w:val="22"/>
                <w:lang w:val="vi-VN"/>
              </w:rPr>
              <w:t xml:space="preserve">- Cổng </w:t>
            </w:r>
            <w:r w:rsidRPr="008C3CD8">
              <w:rPr>
                <w:sz w:val="22"/>
                <w:szCs w:val="22"/>
                <w:lang w:val="vi-VN"/>
              </w:rPr>
              <w:t>T</w:t>
            </w:r>
            <w:r w:rsidRPr="00690A46">
              <w:rPr>
                <w:sz w:val="22"/>
                <w:szCs w:val="22"/>
                <w:lang w:val="vi-VN"/>
              </w:rPr>
              <w:t>hông tin điện tử Bộ Tài chính;</w:t>
            </w:r>
          </w:p>
          <w:p w:rsidR="007C1969" w:rsidRPr="00690A46" w:rsidRDefault="007C1969" w:rsidP="007C1969">
            <w:pPr>
              <w:textAlignment w:val="baseline"/>
              <w:rPr>
                <w:sz w:val="22"/>
                <w:szCs w:val="22"/>
                <w:lang w:val="vi-VN"/>
              </w:rPr>
            </w:pPr>
            <w:r w:rsidRPr="00690A46">
              <w:rPr>
                <w:sz w:val="22"/>
                <w:szCs w:val="22"/>
                <w:lang w:val="vi-VN"/>
              </w:rPr>
              <w:t>- Các đơn vị thuộc Bộ Tài chính;</w:t>
            </w:r>
          </w:p>
          <w:p w:rsidR="009C2B2F" w:rsidRPr="009548A7" w:rsidRDefault="007C1969" w:rsidP="007C1969">
            <w:pPr>
              <w:jc w:val="both"/>
              <w:rPr>
                <w:sz w:val="28"/>
                <w:lang w:val="pt-BR"/>
              </w:rPr>
            </w:pPr>
            <w:r w:rsidRPr="00690A46">
              <w:rPr>
                <w:sz w:val="22"/>
                <w:szCs w:val="22"/>
                <w:lang w:val="vi-VN"/>
              </w:rPr>
              <w:t>- Lưu: VT, Cục CST (      b).</w:t>
            </w:r>
          </w:p>
        </w:tc>
        <w:tc>
          <w:tcPr>
            <w:tcW w:w="1914" w:type="pct"/>
          </w:tcPr>
          <w:p w:rsidR="009C2B2F" w:rsidRPr="009548A7" w:rsidRDefault="009C2B2F" w:rsidP="00FF61E6">
            <w:pPr>
              <w:jc w:val="center"/>
              <w:rPr>
                <w:b/>
                <w:sz w:val="26"/>
                <w:szCs w:val="26"/>
              </w:rPr>
            </w:pPr>
            <w:r w:rsidRPr="009548A7">
              <w:rPr>
                <w:b/>
                <w:sz w:val="26"/>
                <w:szCs w:val="26"/>
              </w:rPr>
              <w:t>THỨ TRƯỞNG</w:t>
            </w:r>
          </w:p>
        </w:tc>
      </w:tr>
      <w:tr w:rsidR="009C2B2F" w:rsidRPr="009548A7">
        <w:trPr>
          <w:trHeight w:val="1290"/>
        </w:trPr>
        <w:tc>
          <w:tcPr>
            <w:tcW w:w="3086" w:type="pct"/>
            <w:vMerge/>
          </w:tcPr>
          <w:p w:rsidR="009C2B2F" w:rsidRPr="009548A7" w:rsidRDefault="009C2B2F" w:rsidP="009C2B2F">
            <w:pPr>
              <w:jc w:val="both"/>
              <w:rPr>
                <w:sz w:val="28"/>
              </w:rPr>
            </w:pPr>
          </w:p>
        </w:tc>
        <w:tc>
          <w:tcPr>
            <w:tcW w:w="1914" w:type="pct"/>
          </w:tcPr>
          <w:p w:rsidR="009C2B2F" w:rsidRPr="009548A7" w:rsidRDefault="009C2B2F" w:rsidP="00FF61E6">
            <w:pPr>
              <w:spacing w:before="120"/>
              <w:jc w:val="center"/>
              <w:rPr>
                <w:sz w:val="28"/>
              </w:rPr>
            </w:pPr>
          </w:p>
          <w:p w:rsidR="009C2B2F" w:rsidRPr="009548A7" w:rsidRDefault="009C2B2F" w:rsidP="00FF61E6">
            <w:pPr>
              <w:jc w:val="center"/>
              <w:rPr>
                <w:b/>
                <w:sz w:val="28"/>
              </w:rPr>
            </w:pPr>
          </w:p>
          <w:p w:rsidR="009C2B2F" w:rsidRPr="009548A7" w:rsidRDefault="002E7BF7" w:rsidP="00FF61E6">
            <w:pPr>
              <w:jc w:val="center"/>
              <w:rPr>
                <w:b/>
                <w:sz w:val="28"/>
              </w:rPr>
            </w:pPr>
            <w:r>
              <w:rPr>
                <w:b/>
                <w:sz w:val="28"/>
              </w:rPr>
              <w:t>Cao Anh Tuấn</w:t>
            </w:r>
          </w:p>
        </w:tc>
      </w:tr>
    </w:tbl>
    <w:p w:rsidR="00207CD8" w:rsidRPr="009548A7" w:rsidRDefault="00207CD8" w:rsidP="00550DD8">
      <w:pPr>
        <w:rPr>
          <w:sz w:val="28"/>
          <w:szCs w:val="28"/>
        </w:rPr>
      </w:pPr>
    </w:p>
    <w:p w:rsidR="008F1532" w:rsidRDefault="008F1532" w:rsidP="00550DD8">
      <w:pPr>
        <w:rPr>
          <w:sz w:val="28"/>
          <w:szCs w:val="28"/>
        </w:rPr>
        <w:sectPr w:rsidR="008F1532" w:rsidSect="007C1969">
          <w:headerReference w:type="default" r:id="rId8"/>
          <w:footerReference w:type="even" r:id="rId9"/>
          <w:footerReference w:type="default" r:id="rId10"/>
          <w:pgSz w:w="11909" w:h="16834" w:code="9"/>
          <w:pgMar w:top="1152" w:right="1440" w:bottom="1152" w:left="1728" w:header="567" w:footer="567" w:gutter="0"/>
          <w:cols w:space="720"/>
          <w:titlePg/>
          <w:docGrid w:linePitch="360"/>
        </w:sectPr>
      </w:pPr>
    </w:p>
    <w:p w:rsidR="008F1532" w:rsidRPr="00FC76D8" w:rsidRDefault="008F1532" w:rsidP="008F1532">
      <w:pPr>
        <w:jc w:val="center"/>
        <w:rPr>
          <w:b/>
          <w:sz w:val="28"/>
          <w:szCs w:val="28"/>
          <w:lang w:val="sv-SE"/>
        </w:rPr>
      </w:pPr>
      <w:r w:rsidRPr="00FC76D8">
        <w:rPr>
          <w:b/>
          <w:sz w:val="28"/>
          <w:szCs w:val="28"/>
          <w:lang w:val="vi-VN"/>
        </w:rPr>
        <w:lastRenderedPageBreak/>
        <w:t xml:space="preserve">BIỂU MỨC </w:t>
      </w:r>
      <w:r>
        <w:rPr>
          <w:b/>
          <w:sz w:val="28"/>
          <w:szCs w:val="28"/>
          <w:lang w:val="sv-SE"/>
        </w:rPr>
        <w:t>TỶ LỆ TÍNH PHÍ</w:t>
      </w:r>
      <w:r w:rsidRPr="00FC76D8">
        <w:rPr>
          <w:b/>
          <w:sz w:val="28"/>
          <w:szCs w:val="28"/>
          <w:lang w:val="sv-SE"/>
        </w:rPr>
        <w:t xml:space="preserve"> THẨM</w:t>
      </w:r>
      <w:r>
        <w:rPr>
          <w:b/>
          <w:sz w:val="28"/>
          <w:szCs w:val="28"/>
          <w:lang w:val="sv-SE"/>
        </w:rPr>
        <w:t xml:space="preserve"> ĐỊNH PHÊ</w:t>
      </w:r>
      <w:r w:rsidRPr="00FC76D8">
        <w:rPr>
          <w:b/>
          <w:sz w:val="28"/>
          <w:szCs w:val="28"/>
          <w:lang w:val="sv-SE"/>
        </w:rPr>
        <w:t xml:space="preserve"> DUYỆT TH</w:t>
      </w:r>
      <w:r>
        <w:rPr>
          <w:b/>
          <w:sz w:val="28"/>
          <w:szCs w:val="28"/>
          <w:lang w:val="sv-SE"/>
        </w:rPr>
        <w:t>IẾT KẾ PHÒNG CHÁY VÀ CHỮA CHÁY</w:t>
      </w:r>
    </w:p>
    <w:p w:rsidR="008F1532" w:rsidRDefault="008F1532" w:rsidP="008F1532">
      <w:pPr>
        <w:spacing w:before="120"/>
        <w:jc w:val="center"/>
        <w:rPr>
          <w:i/>
          <w:sz w:val="28"/>
          <w:szCs w:val="28"/>
          <w:lang w:val="sv-SE"/>
        </w:rPr>
      </w:pPr>
      <w:r w:rsidRPr="00150DC4">
        <w:rPr>
          <w:i/>
          <w:sz w:val="28"/>
          <w:szCs w:val="28"/>
          <w:lang w:val="sv-SE"/>
        </w:rPr>
        <w:t>(Ban hà</w:t>
      </w:r>
      <w:r>
        <w:rPr>
          <w:i/>
          <w:sz w:val="28"/>
          <w:szCs w:val="28"/>
          <w:lang w:val="sv-SE"/>
        </w:rPr>
        <w:t xml:space="preserve">nh kèm theo Thông tư số </w:t>
      </w:r>
      <w:r w:rsidR="002E7BF7">
        <w:rPr>
          <w:i/>
          <w:sz w:val="28"/>
          <w:szCs w:val="28"/>
          <w:lang w:val="sv-SE"/>
        </w:rPr>
        <w:t xml:space="preserve">     </w:t>
      </w:r>
      <w:r>
        <w:rPr>
          <w:i/>
          <w:sz w:val="28"/>
          <w:szCs w:val="28"/>
          <w:lang w:val="sv-SE"/>
        </w:rPr>
        <w:t>/20</w:t>
      </w:r>
      <w:r w:rsidR="002E7BF7">
        <w:rPr>
          <w:i/>
          <w:sz w:val="28"/>
          <w:szCs w:val="28"/>
          <w:lang w:val="sv-SE"/>
        </w:rPr>
        <w:t>25</w:t>
      </w:r>
      <w:r>
        <w:rPr>
          <w:i/>
          <w:sz w:val="28"/>
          <w:szCs w:val="28"/>
          <w:lang w:val="sv-SE"/>
        </w:rPr>
        <w:t xml:space="preserve">/TT-BTC ngày </w:t>
      </w:r>
      <w:r w:rsidR="002E7BF7">
        <w:rPr>
          <w:i/>
          <w:sz w:val="28"/>
          <w:szCs w:val="28"/>
          <w:lang w:val="sv-SE"/>
        </w:rPr>
        <w:t xml:space="preserve">    </w:t>
      </w:r>
      <w:r>
        <w:rPr>
          <w:i/>
          <w:sz w:val="28"/>
          <w:szCs w:val="28"/>
          <w:lang w:val="sv-SE"/>
        </w:rPr>
        <w:t xml:space="preserve"> tháng </w:t>
      </w:r>
      <w:r w:rsidR="002E7BF7">
        <w:rPr>
          <w:i/>
          <w:sz w:val="28"/>
          <w:szCs w:val="28"/>
          <w:lang w:val="sv-SE"/>
        </w:rPr>
        <w:t xml:space="preserve">    </w:t>
      </w:r>
      <w:r>
        <w:rPr>
          <w:i/>
          <w:sz w:val="28"/>
          <w:szCs w:val="28"/>
          <w:lang w:val="sv-SE"/>
        </w:rPr>
        <w:t xml:space="preserve"> năm 20</w:t>
      </w:r>
      <w:r w:rsidR="002E7BF7">
        <w:rPr>
          <w:i/>
          <w:sz w:val="28"/>
          <w:szCs w:val="28"/>
          <w:lang w:val="sv-SE"/>
        </w:rPr>
        <w:t>25</w:t>
      </w:r>
      <w:r w:rsidRPr="00150DC4">
        <w:rPr>
          <w:i/>
          <w:sz w:val="28"/>
          <w:szCs w:val="28"/>
          <w:lang w:val="sv-SE"/>
        </w:rPr>
        <w:t xml:space="preserve"> của </w:t>
      </w:r>
      <w:r>
        <w:rPr>
          <w:i/>
          <w:sz w:val="28"/>
          <w:szCs w:val="28"/>
          <w:lang w:val="sv-SE"/>
        </w:rPr>
        <w:t xml:space="preserve">Bộ trưởng </w:t>
      </w:r>
      <w:r w:rsidRPr="00150DC4">
        <w:rPr>
          <w:i/>
          <w:sz w:val="28"/>
          <w:szCs w:val="28"/>
          <w:lang w:val="sv-SE"/>
        </w:rPr>
        <w:t>Bộ Tài chính)</w:t>
      </w:r>
    </w:p>
    <w:p w:rsidR="007C1969" w:rsidRDefault="007C1969" w:rsidP="008F1532">
      <w:pPr>
        <w:spacing w:before="120"/>
        <w:ind w:firstLine="720"/>
        <w:jc w:val="both"/>
        <w:rPr>
          <w:b/>
          <w:sz w:val="28"/>
          <w:szCs w:val="28"/>
          <w:lang w:val="sv-SE"/>
        </w:rPr>
      </w:pPr>
    </w:p>
    <w:p w:rsidR="008F1532" w:rsidRPr="00FE75EF" w:rsidRDefault="008F1532" w:rsidP="008F1532">
      <w:pPr>
        <w:spacing w:before="120"/>
        <w:ind w:firstLine="720"/>
        <w:jc w:val="both"/>
        <w:rPr>
          <w:b/>
          <w:sz w:val="28"/>
          <w:szCs w:val="28"/>
          <w:lang w:val="sv-SE"/>
        </w:rPr>
      </w:pPr>
      <w:r>
        <w:rPr>
          <w:b/>
          <w:sz w:val="28"/>
          <w:szCs w:val="28"/>
          <w:lang w:val="sv-SE"/>
        </w:rPr>
        <w:t>1</w:t>
      </w:r>
      <w:r w:rsidRPr="00FE75EF">
        <w:rPr>
          <w:b/>
          <w:sz w:val="28"/>
          <w:szCs w:val="28"/>
          <w:lang w:val="sv-SE"/>
        </w:rPr>
        <w:t xml:space="preserve">. </w:t>
      </w:r>
      <w:r>
        <w:rPr>
          <w:b/>
          <w:sz w:val="28"/>
          <w:szCs w:val="28"/>
          <w:lang w:val="sv-SE"/>
        </w:rPr>
        <w:t>Đ</w:t>
      </w:r>
      <w:r w:rsidRPr="00FE75EF">
        <w:rPr>
          <w:b/>
          <w:sz w:val="28"/>
          <w:szCs w:val="28"/>
          <w:lang w:val="sv-SE"/>
        </w:rPr>
        <w:t xml:space="preserve">ối với </w:t>
      </w:r>
      <w:r>
        <w:rPr>
          <w:b/>
          <w:sz w:val="28"/>
          <w:szCs w:val="28"/>
          <w:lang w:val="sv-SE"/>
        </w:rPr>
        <w:t xml:space="preserve">dự án, </w:t>
      </w:r>
      <w:r w:rsidRPr="00FE75EF">
        <w:rPr>
          <w:b/>
          <w:sz w:val="28"/>
          <w:szCs w:val="28"/>
          <w:lang w:val="sv-SE"/>
        </w:rPr>
        <w:t>công trình</w:t>
      </w:r>
    </w:p>
    <w:p w:rsidR="00881231" w:rsidRPr="00552AD1" w:rsidRDefault="00881231" w:rsidP="00881231">
      <w:pPr>
        <w:ind w:firstLine="720"/>
        <w:jc w:val="right"/>
        <w:rPr>
          <w:b/>
          <w:i/>
          <w:lang w:val="sv-SE"/>
        </w:rPr>
      </w:pPr>
      <w:r w:rsidRPr="00552AD1">
        <w:rPr>
          <w:b/>
          <w:i/>
          <w:lang w:val="sv-SE"/>
        </w:rPr>
        <w:t>Đơn vị tính: Tỷ lệ %</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5124"/>
        <w:gridCol w:w="1294"/>
        <w:gridCol w:w="1320"/>
        <w:gridCol w:w="1367"/>
        <w:gridCol w:w="1507"/>
        <w:gridCol w:w="1396"/>
        <w:gridCol w:w="1955"/>
      </w:tblGrid>
      <w:tr w:rsidR="008F1532" w:rsidRPr="00D73EA1" w:rsidTr="00E81E35">
        <w:tc>
          <w:tcPr>
            <w:tcW w:w="229" w:type="pct"/>
            <w:vAlign w:val="center"/>
          </w:tcPr>
          <w:p w:rsidR="008F1532" w:rsidRPr="00D73EA1" w:rsidRDefault="008F1532" w:rsidP="00E81E35">
            <w:pPr>
              <w:spacing w:before="120" w:after="120" w:line="264" w:lineRule="auto"/>
              <w:jc w:val="center"/>
              <w:rPr>
                <w:b/>
                <w:lang w:val="nl-NL"/>
              </w:rPr>
            </w:pPr>
            <w:r w:rsidRPr="00D73EA1">
              <w:rPr>
                <w:b/>
                <w:lang w:val="nl-NL"/>
              </w:rPr>
              <w:t>STT</w:t>
            </w:r>
          </w:p>
        </w:tc>
        <w:tc>
          <w:tcPr>
            <w:tcW w:w="1751" w:type="pct"/>
            <w:vAlign w:val="center"/>
          </w:tcPr>
          <w:p w:rsidR="008F1532" w:rsidRPr="00D73EA1" w:rsidRDefault="007C5CEF" w:rsidP="00E81E35">
            <w:pPr>
              <w:rPr>
                <w:b/>
                <w:szCs w:val="28"/>
                <w:lang w:val="nl-NL"/>
              </w:rPr>
            </w:pPr>
            <w:r w:rsidRPr="007C5CEF">
              <w:rPr>
                <w:b/>
                <w:noProof/>
                <w:lang w:val="vi-VN" w:eastAsia="vi-VN"/>
              </w:rPr>
              <w:pict>
                <v:shape id="_x0000_s1029" type="#_x0000_t32" style="position:absolute;margin-left:-4.85pt;margin-top:.25pt;width:255.5pt;height:77.35pt;z-index:251661312;mso-position-horizontal-relative:text;mso-position-vertical-relative:text" o:connectortype="straight"/>
              </w:pict>
            </w:r>
            <w:r w:rsidR="008F1532" w:rsidRPr="00D73EA1">
              <w:rPr>
                <w:b/>
                <w:lang w:val="nl-NL"/>
              </w:rPr>
              <w:t xml:space="preserve">                     </w:t>
            </w:r>
            <w:r w:rsidR="002E7BF7">
              <w:rPr>
                <w:b/>
                <w:lang w:val="nl-NL"/>
              </w:rPr>
              <w:t xml:space="preserve">                           </w:t>
            </w:r>
            <w:r w:rsidR="008F1532" w:rsidRPr="00D73EA1">
              <w:rPr>
                <w:b/>
                <w:lang w:val="nl-NL"/>
              </w:rPr>
              <w:t>Tổng mức đầu tư</w:t>
            </w:r>
            <w:r w:rsidR="008F1532" w:rsidRPr="00D73EA1">
              <w:rPr>
                <w:b/>
                <w:szCs w:val="28"/>
                <w:lang w:val="nl-NL"/>
              </w:rPr>
              <w:t xml:space="preserve"> </w:t>
            </w:r>
          </w:p>
          <w:p w:rsidR="008F1532" w:rsidRPr="00D73EA1" w:rsidRDefault="008F1532" w:rsidP="00E81E35">
            <w:pPr>
              <w:rPr>
                <w:b/>
                <w:sz w:val="28"/>
                <w:lang w:val="nl-NL"/>
              </w:rPr>
            </w:pPr>
            <w:r w:rsidRPr="00D73EA1">
              <w:rPr>
                <w:b/>
                <w:szCs w:val="28"/>
                <w:lang w:val="nl-NL"/>
              </w:rPr>
              <w:t xml:space="preserve">                                 </w:t>
            </w:r>
            <w:r w:rsidR="002E7BF7">
              <w:rPr>
                <w:b/>
                <w:szCs w:val="28"/>
                <w:lang w:val="nl-NL"/>
              </w:rPr>
              <w:t xml:space="preserve">                            </w:t>
            </w:r>
            <w:r w:rsidRPr="00D73EA1">
              <w:rPr>
                <w:b/>
                <w:szCs w:val="28"/>
                <w:lang w:val="nl-NL"/>
              </w:rPr>
              <w:t xml:space="preserve">  </w:t>
            </w:r>
            <w:r w:rsidRPr="00D73EA1">
              <w:rPr>
                <w:b/>
                <w:lang w:val="nl-NL"/>
              </w:rPr>
              <w:t>(tỷ đồng)</w:t>
            </w:r>
          </w:p>
          <w:p w:rsidR="008F1532" w:rsidRDefault="008F1532" w:rsidP="00E81E35">
            <w:pPr>
              <w:tabs>
                <w:tab w:val="center" w:pos="4320"/>
                <w:tab w:val="right" w:pos="8640"/>
              </w:tabs>
              <w:spacing w:before="120" w:after="120" w:line="320" w:lineRule="exact"/>
              <w:rPr>
                <w:b/>
                <w:lang w:val="nl-NL"/>
              </w:rPr>
            </w:pPr>
          </w:p>
          <w:p w:rsidR="008F1532" w:rsidRPr="00980978" w:rsidRDefault="00881231" w:rsidP="00E81E35">
            <w:pPr>
              <w:tabs>
                <w:tab w:val="center" w:pos="4320"/>
                <w:tab w:val="right" w:pos="8640"/>
              </w:tabs>
              <w:spacing w:before="120" w:after="120" w:line="320" w:lineRule="exact"/>
              <w:rPr>
                <w:b/>
                <w:lang w:val="nl-NL"/>
              </w:rPr>
            </w:pPr>
            <w:r>
              <w:rPr>
                <w:b/>
                <w:lang w:val="nl-NL"/>
              </w:rPr>
              <w:t>Dự án, công trình</w:t>
            </w:r>
          </w:p>
        </w:tc>
        <w:tc>
          <w:tcPr>
            <w:tcW w:w="442" w:type="pct"/>
            <w:vAlign w:val="center"/>
          </w:tcPr>
          <w:p w:rsidR="008F1532" w:rsidRPr="00980978" w:rsidRDefault="008F1532" w:rsidP="00E81E35">
            <w:pPr>
              <w:jc w:val="center"/>
            </w:pPr>
            <w:r>
              <w:rPr>
                <w:b/>
                <w:bCs/>
                <w:color w:val="000000"/>
              </w:rPr>
              <w:t>Đến</w:t>
            </w:r>
            <w:r w:rsidRPr="00980978">
              <w:rPr>
                <w:b/>
                <w:bCs/>
                <w:color w:val="000000"/>
              </w:rPr>
              <w:t xml:space="preserve"> 15</w:t>
            </w:r>
          </w:p>
        </w:tc>
        <w:tc>
          <w:tcPr>
            <w:tcW w:w="451" w:type="pct"/>
            <w:vAlign w:val="center"/>
          </w:tcPr>
          <w:p w:rsidR="008F1532" w:rsidRPr="00980978" w:rsidRDefault="008F1532" w:rsidP="00E81E35">
            <w:pPr>
              <w:jc w:val="center"/>
            </w:pPr>
            <w:r w:rsidRPr="00980978">
              <w:rPr>
                <w:b/>
                <w:bCs/>
                <w:color w:val="000000"/>
                <w:lang w:val="nl-NL"/>
              </w:rPr>
              <w:t>100</w:t>
            </w:r>
          </w:p>
        </w:tc>
        <w:tc>
          <w:tcPr>
            <w:tcW w:w="467" w:type="pct"/>
            <w:vAlign w:val="center"/>
          </w:tcPr>
          <w:p w:rsidR="008F1532" w:rsidRPr="00980978" w:rsidRDefault="008F1532" w:rsidP="00E81E35">
            <w:pPr>
              <w:jc w:val="center"/>
            </w:pPr>
            <w:r w:rsidRPr="00980978">
              <w:rPr>
                <w:b/>
                <w:bCs/>
                <w:color w:val="000000"/>
                <w:lang w:val="nl-NL"/>
              </w:rPr>
              <w:t>500</w:t>
            </w:r>
          </w:p>
        </w:tc>
        <w:tc>
          <w:tcPr>
            <w:tcW w:w="515" w:type="pct"/>
            <w:vAlign w:val="center"/>
          </w:tcPr>
          <w:p w:rsidR="008F1532" w:rsidRPr="00980978" w:rsidRDefault="008F1532" w:rsidP="00E81E35">
            <w:pPr>
              <w:jc w:val="center"/>
            </w:pPr>
            <w:r w:rsidRPr="00980978">
              <w:rPr>
                <w:b/>
                <w:bCs/>
                <w:color w:val="000000"/>
                <w:lang w:val="nl-NL"/>
              </w:rPr>
              <w:t>1000</w:t>
            </w:r>
          </w:p>
        </w:tc>
        <w:tc>
          <w:tcPr>
            <w:tcW w:w="477" w:type="pct"/>
            <w:vAlign w:val="center"/>
          </w:tcPr>
          <w:p w:rsidR="008F1532" w:rsidRPr="00980978" w:rsidRDefault="008F1532" w:rsidP="00E81E35">
            <w:pPr>
              <w:jc w:val="center"/>
            </w:pPr>
            <w:r w:rsidRPr="00980978">
              <w:rPr>
                <w:b/>
                <w:bCs/>
                <w:color w:val="000000"/>
                <w:lang w:val="nl-NL"/>
              </w:rPr>
              <w:t>5000</w:t>
            </w:r>
          </w:p>
        </w:tc>
        <w:tc>
          <w:tcPr>
            <w:tcW w:w="668" w:type="pct"/>
            <w:vAlign w:val="center"/>
          </w:tcPr>
          <w:p w:rsidR="008F1532" w:rsidRPr="00980978" w:rsidRDefault="008F1532" w:rsidP="00E81E35">
            <w:pPr>
              <w:jc w:val="center"/>
            </w:pPr>
            <w:r w:rsidRPr="00980978">
              <w:rPr>
                <w:b/>
                <w:bCs/>
                <w:color w:val="000000"/>
                <w:lang w:val="nl-NL"/>
              </w:rPr>
              <w:t xml:space="preserve">Từ 10000 trở lên </w:t>
            </w:r>
          </w:p>
        </w:tc>
      </w:tr>
      <w:tr w:rsidR="008F1532" w:rsidRPr="00D73EA1" w:rsidTr="00E81E35">
        <w:tc>
          <w:tcPr>
            <w:tcW w:w="229" w:type="pct"/>
          </w:tcPr>
          <w:p w:rsidR="008F1532" w:rsidRPr="00D73EA1" w:rsidRDefault="008F1532" w:rsidP="00E81E35">
            <w:pPr>
              <w:spacing w:before="120" w:after="120" w:line="264" w:lineRule="auto"/>
              <w:jc w:val="center"/>
              <w:rPr>
                <w:lang w:val="nl-NL"/>
              </w:rPr>
            </w:pPr>
            <w:bookmarkStart w:id="4" w:name="_Hlk467402660"/>
            <w:r w:rsidRPr="00D73EA1">
              <w:rPr>
                <w:lang w:val="nl-NL"/>
              </w:rPr>
              <w:t>1</w:t>
            </w:r>
          </w:p>
        </w:tc>
        <w:tc>
          <w:tcPr>
            <w:tcW w:w="1751" w:type="pct"/>
            <w:vAlign w:val="center"/>
          </w:tcPr>
          <w:p w:rsidR="008F1532" w:rsidRPr="00D73EA1" w:rsidRDefault="008F1532" w:rsidP="00E81E35">
            <w:pPr>
              <w:spacing w:before="40" w:after="40" w:line="240" w:lineRule="exact"/>
              <w:jc w:val="both"/>
              <w:rPr>
                <w:sz w:val="28"/>
                <w:szCs w:val="28"/>
                <w:lang w:val="nl-NL"/>
              </w:rPr>
            </w:pPr>
            <w:r>
              <w:rPr>
                <w:lang w:val="nl-NL"/>
              </w:rPr>
              <w:t>Dự án, c</w:t>
            </w:r>
            <w:r w:rsidRPr="00D73EA1">
              <w:rPr>
                <w:lang w:val="nl-NL"/>
              </w:rPr>
              <w:t>ông trình hạ tầng kỹ thuật,</w:t>
            </w:r>
            <w:r w:rsidRPr="00D73EA1">
              <w:rPr>
                <w:sz w:val="28"/>
                <w:szCs w:val="28"/>
                <w:lang w:val="nl-NL"/>
              </w:rPr>
              <w:t xml:space="preserve"> </w:t>
            </w:r>
            <w:r w:rsidRPr="00D73EA1">
              <w:rPr>
                <w:lang w:val="nl-NL"/>
              </w:rPr>
              <w:t>công trình giao thông</w:t>
            </w:r>
          </w:p>
        </w:tc>
        <w:tc>
          <w:tcPr>
            <w:tcW w:w="442" w:type="pct"/>
            <w:vAlign w:val="center"/>
          </w:tcPr>
          <w:p w:rsidR="00CD7162" w:rsidRPr="00A25B08" w:rsidRDefault="0069115F" w:rsidP="00E81E35">
            <w:pPr>
              <w:jc w:val="center"/>
              <w:rPr>
                <w:color w:val="000000"/>
              </w:rPr>
            </w:pPr>
            <w:r w:rsidRPr="00A25B08">
              <w:rPr>
                <w:color w:val="000000"/>
              </w:rPr>
              <w:t>0.00336</w:t>
            </w:r>
          </w:p>
        </w:tc>
        <w:tc>
          <w:tcPr>
            <w:tcW w:w="451" w:type="pct"/>
            <w:vAlign w:val="center"/>
          </w:tcPr>
          <w:p w:rsidR="0069115F" w:rsidRPr="00A25B08" w:rsidRDefault="007A64DC" w:rsidP="00E81E35">
            <w:pPr>
              <w:jc w:val="center"/>
              <w:rPr>
                <w:color w:val="000000"/>
              </w:rPr>
            </w:pPr>
            <w:r w:rsidRPr="00A25B08">
              <w:rPr>
                <w:color w:val="000000"/>
              </w:rPr>
              <w:t>0.00182</w:t>
            </w:r>
          </w:p>
        </w:tc>
        <w:tc>
          <w:tcPr>
            <w:tcW w:w="467" w:type="pct"/>
            <w:vAlign w:val="center"/>
          </w:tcPr>
          <w:p w:rsidR="007A64DC" w:rsidRPr="00A25B08" w:rsidRDefault="007A64DC" w:rsidP="00E81E35">
            <w:pPr>
              <w:jc w:val="center"/>
              <w:rPr>
                <w:color w:val="000000"/>
              </w:rPr>
            </w:pPr>
            <w:r w:rsidRPr="00A25B08">
              <w:rPr>
                <w:color w:val="000000"/>
              </w:rPr>
              <w:t>0.00101</w:t>
            </w:r>
          </w:p>
        </w:tc>
        <w:tc>
          <w:tcPr>
            <w:tcW w:w="515" w:type="pct"/>
            <w:vAlign w:val="center"/>
          </w:tcPr>
          <w:p w:rsidR="007A64DC" w:rsidRPr="00A25B08" w:rsidRDefault="007A64DC" w:rsidP="00E81E35">
            <w:pPr>
              <w:jc w:val="center"/>
              <w:rPr>
                <w:color w:val="000000"/>
              </w:rPr>
            </w:pPr>
            <w:r w:rsidRPr="00A25B08">
              <w:rPr>
                <w:color w:val="000000"/>
              </w:rPr>
              <w:t>0.00068</w:t>
            </w:r>
          </w:p>
        </w:tc>
        <w:tc>
          <w:tcPr>
            <w:tcW w:w="477" w:type="pct"/>
            <w:vAlign w:val="center"/>
          </w:tcPr>
          <w:p w:rsidR="007A64DC" w:rsidRPr="00A25B08" w:rsidRDefault="007A64DC" w:rsidP="00E81E35">
            <w:pPr>
              <w:jc w:val="center"/>
              <w:rPr>
                <w:color w:val="000000"/>
              </w:rPr>
            </w:pPr>
            <w:r w:rsidRPr="00A25B08">
              <w:rPr>
                <w:color w:val="000000"/>
              </w:rPr>
              <w:t>0.00038</w:t>
            </w:r>
          </w:p>
        </w:tc>
        <w:tc>
          <w:tcPr>
            <w:tcW w:w="668" w:type="pct"/>
            <w:vAlign w:val="center"/>
          </w:tcPr>
          <w:p w:rsidR="007A64DC" w:rsidRPr="00A25B08" w:rsidRDefault="007A64DC" w:rsidP="00E81E35">
            <w:pPr>
              <w:jc w:val="center"/>
              <w:rPr>
                <w:color w:val="000000"/>
              </w:rPr>
            </w:pPr>
            <w:r w:rsidRPr="00A25B08">
              <w:rPr>
                <w:color w:val="000000"/>
              </w:rPr>
              <w:t>0.00025</w:t>
            </w:r>
          </w:p>
        </w:tc>
      </w:tr>
      <w:tr w:rsidR="008F1532" w:rsidRPr="00D73EA1" w:rsidTr="00E81E35">
        <w:tc>
          <w:tcPr>
            <w:tcW w:w="229" w:type="pct"/>
          </w:tcPr>
          <w:p w:rsidR="008F1532" w:rsidRPr="00D73EA1" w:rsidRDefault="008F1532" w:rsidP="00E81E35">
            <w:pPr>
              <w:spacing w:before="120" w:after="120" w:line="264" w:lineRule="auto"/>
              <w:jc w:val="center"/>
              <w:rPr>
                <w:lang w:val="nl-NL"/>
              </w:rPr>
            </w:pPr>
            <w:r>
              <w:rPr>
                <w:lang w:val="nl-NL"/>
              </w:rPr>
              <w:t>2</w:t>
            </w:r>
          </w:p>
        </w:tc>
        <w:tc>
          <w:tcPr>
            <w:tcW w:w="1751" w:type="pct"/>
            <w:vAlign w:val="center"/>
          </w:tcPr>
          <w:p w:rsidR="008F1532" w:rsidRPr="00D73EA1" w:rsidRDefault="008F1532" w:rsidP="00E81E35">
            <w:pPr>
              <w:spacing w:before="40" w:after="40" w:line="240" w:lineRule="exact"/>
              <w:jc w:val="both"/>
              <w:rPr>
                <w:sz w:val="28"/>
                <w:szCs w:val="28"/>
                <w:lang w:val="nl-NL"/>
              </w:rPr>
            </w:pPr>
            <w:r>
              <w:rPr>
                <w:lang w:val="nl-NL"/>
              </w:rPr>
              <w:t>Dự án, c</w:t>
            </w:r>
            <w:r w:rsidRPr="00D73EA1">
              <w:rPr>
                <w:lang w:val="nl-NL"/>
              </w:rPr>
              <w:t>ông trình dầu khí, năng lượng, hóa chất</w:t>
            </w:r>
          </w:p>
        </w:tc>
        <w:tc>
          <w:tcPr>
            <w:tcW w:w="442" w:type="pct"/>
            <w:vAlign w:val="center"/>
          </w:tcPr>
          <w:p w:rsidR="007A64DC" w:rsidRPr="00A25B08" w:rsidRDefault="00BC21E0" w:rsidP="00E81E35">
            <w:pPr>
              <w:jc w:val="center"/>
              <w:rPr>
                <w:color w:val="000000"/>
              </w:rPr>
            </w:pPr>
            <w:r w:rsidRPr="00A25B08">
              <w:rPr>
                <w:color w:val="000000"/>
              </w:rPr>
              <w:t>0.00664</w:t>
            </w:r>
          </w:p>
        </w:tc>
        <w:tc>
          <w:tcPr>
            <w:tcW w:w="451" w:type="pct"/>
            <w:vAlign w:val="center"/>
          </w:tcPr>
          <w:p w:rsidR="00BC21E0" w:rsidRPr="00A25B08" w:rsidRDefault="00BC21E0" w:rsidP="00E81E35">
            <w:pPr>
              <w:jc w:val="center"/>
              <w:rPr>
                <w:color w:val="000000"/>
              </w:rPr>
            </w:pPr>
            <w:r w:rsidRPr="00A25B08">
              <w:rPr>
                <w:color w:val="000000"/>
              </w:rPr>
              <w:t>0.00359</w:t>
            </w:r>
          </w:p>
        </w:tc>
        <w:tc>
          <w:tcPr>
            <w:tcW w:w="467" w:type="pct"/>
            <w:vAlign w:val="center"/>
          </w:tcPr>
          <w:p w:rsidR="00BC21E0" w:rsidRPr="00A25B08" w:rsidRDefault="00BC21E0" w:rsidP="00E81E35">
            <w:pPr>
              <w:jc w:val="center"/>
              <w:rPr>
                <w:color w:val="000000"/>
              </w:rPr>
            </w:pPr>
            <w:r w:rsidRPr="00A25B08">
              <w:rPr>
                <w:color w:val="000000"/>
              </w:rPr>
              <w:t>0.00200</w:t>
            </w:r>
          </w:p>
        </w:tc>
        <w:tc>
          <w:tcPr>
            <w:tcW w:w="515" w:type="pct"/>
            <w:vAlign w:val="center"/>
          </w:tcPr>
          <w:p w:rsidR="00BC21E0" w:rsidRPr="00A25B08" w:rsidRDefault="00BC21E0" w:rsidP="00E81E35">
            <w:pPr>
              <w:jc w:val="center"/>
              <w:rPr>
                <w:color w:val="000000"/>
              </w:rPr>
            </w:pPr>
            <w:r w:rsidRPr="00A25B08">
              <w:rPr>
                <w:color w:val="000000"/>
              </w:rPr>
              <w:t>0.00133</w:t>
            </w:r>
          </w:p>
        </w:tc>
        <w:tc>
          <w:tcPr>
            <w:tcW w:w="477" w:type="pct"/>
            <w:vAlign w:val="center"/>
          </w:tcPr>
          <w:p w:rsidR="00BC21E0" w:rsidRPr="00A25B08" w:rsidRDefault="00BC21E0" w:rsidP="00E81E35">
            <w:pPr>
              <w:jc w:val="center"/>
              <w:rPr>
                <w:color w:val="000000"/>
              </w:rPr>
            </w:pPr>
            <w:r w:rsidRPr="00A25B08">
              <w:rPr>
                <w:color w:val="000000"/>
              </w:rPr>
              <w:t>0.00074</w:t>
            </w:r>
          </w:p>
        </w:tc>
        <w:tc>
          <w:tcPr>
            <w:tcW w:w="668" w:type="pct"/>
            <w:vAlign w:val="center"/>
          </w:tcPr>
          <w:p w:rsidR="00CB184B" w:rsidRPr="00A25B08" w:rsidRDefault="00CB184B" w:rsidP="00E81E35">
            <w:pPr>
              <w:jc w:val="center"/>
              <w:rPr>
                <w:color w:val="000000"/>
              </w:rPr>
            </w:pPr>
            <w:r w:rsidRPr="00A25B08">
              <w:rPr>
                <w:color w:val="000000"/>
              </w:rPr>
              <w:t>0.00050</w:t>
            </w:r>
          </w:p>
        </w:tc>
      </w:tr>
      <w:tr w:rsidR="008F1532" w:rsidRPr="00D73EA1" w:rsidTr="00E81E35">
        <w:tc>
          <w:tcPr>
            <w:tcW w:w="229" w:type="pct"/>
          </w:tcPr>
          <w:p w:rsidR="008F1532" w:rsidRPr="00D73EA1" w:rsidRDefault="008F1532" w:rsidP="00E81E35">
            <w:pPr>
              <w:spacing w:before="120" w:after="120" w:line="264" w:lineRule="auto"/>
              <w:jc w:val="center"/>
              <w:rPr>
                <w:lang w:val="nl-NL"/>
              </w:rPr>
            </w:pPr>
            <w:r>
              <w:rPr>
                <w:lang w:val="nl-NL"/>
              </w:rPr>
              <w:t>3</w:t>
            </w:r>
          </w:p>
        </w:tc>
        <w:tc>
          <w:tcPr>
            <w:tcW w:w="1751" w:type="pct"/>
            <w:vAlign w:val="center"/>
          </w:tcPr>
          <w:p w:rsidR="008F1532" w:rsidRPr="00D73EA1" w:rsidRDefault="008F1532" w:rsidP="00E81E35">
            <w:pPr>
              <w:spacing w:before="40" w:after="40" w:line="240" w:lineRule="exact"/>
              <w:jc w:val="both"/>
              <w:rPr>
                <w:sz w:val="28"/>
                <w:szCs w:val="28"/>
                <w:lang w:val="nl-NL"/>
              </w:rPr>
            </w:pPr>
            <w:r>
              <w:rPr>
                <w:lang w:val="nl-NL"/>
              </w:rPr>
              <w:t>Dự án, c</w:t>
            </w:r>
            <w:r w:rsidRPr="00D73EA1">
              <w:rPr>
                <w:lang w:val="nl-NL"/>
              </w:rPr>
              <w:t>ông trình dân dụng, công nghiệp</w:t>
            </w:r>
            <w:r>
              <w:rPr>
                <w:lang w:val="nl-NL"/>
              </w:rPr>
              <w:t xml:space="preserve"> khác</w:t>
            </w:r>
          </w:p>
        </w:tc>
        <w:tc>
          <w:tcPr>
            <w:tcW w:w="442" w:type="pct"/>
            <w:vAlign w:val="center"/>
          </w:tcPr>
          <w:p w:rsidR="00CB184B" w:rsidRPr="00A25B08" w:rsidRDefault="00CB184B" w:rsidP="00E81E35">
            <w:pPr>
              <w:jc w:val="center"/>
              <w:rPr>
                <w:color w:val="000000"/>
              </w:rPr>
            </w:pPr>
            <w:r w:rsidRPr="00A25B08">
              <w:rPr>
                <w:color w:val="000000"/>
              </w:rPr>
              <w:t>0.00484</w:t>
            </w:r>
          </w:p>
        </w:tc>
        <w:tc>
          <w:tcPr>
            <w:tcW w:w="451" w:type="pct"/>
            <w:vAlign w:val="center"/>
          </w:tcPr>
          <w:p w:rsidR="00CB184B" w:rsidRPr="00A25B08" w:rsidRDefault="00CB184B" w:rsidP="00E81E35">
            <w:pPr>
              <w:jc w:val="center"/>
              <w:rPr>
                <w:color w:val="000000"/>
              </w:rPr>
            </w:pPr>
            <w:r w:rsidRPr="00A25B08">
              <w:rPr>
                <w:color w:val="000000"/>
              </w:rPr>
              <w:t>0.00262</w:t>
            </w:r>
          </w:p>
        </w:tc>
        <w:tc>
          <w:tcPr>
            <w:tcW w:w="467" w:type="pct"/>
            <w:vAlign w:val="center"/>
          </w:tcPr>
          <w:p w:rsidR="00CB184B" w:rsidRPr="00A25B08" w:rsidRDefault="00CB184B" w:rsidP="00E81E35">
            <w:pPr>
              <w:jc w:val="center"/>
              <w:rPr>
                <w:color w:val="000000"/>
              </w:rPr>
            </w:pPr>
            <w:r w:rsidRPr="00A25B08">
              <w:rPr>
                <w:color w:val="000000"/>
              </w:rPr>
              <w:t>0.00146</w:t>
            </w:r>
          </w:p>
        </w:tc>
        <w:tc>
          <w:tcPr>
            <w:tcW w:w="515" w:type="pct"/>
            <w:vAlign w:val="center"/>
          </w:tcPr>
          <w:p w:rsidR="00CB184B" w:rsidRPr="00A25B08" w:rsidRDefault="00CB184B" w:rsidP="00E81E35">
            <w:pPr>
              <w:jc w:val="center"/>
              <w:rPr>
                <w:color w:val="000000"/>
              </w:rPr>
            </w:pPr>
            <w:r w:rsidRPr="00A25B08">
              <w:rPr>
                <w:color w:val="000000"/>
              </w:rPr>
              <w:t>0.00097</w:t>
            </w:r>
          </w:p>
        </w:tc>
        <w:tc>
          <w:tcPr>
            <w:tcW w:w="477" w:type="pct"/>
            <w:vAlign w:val="center"/>
          </w:tcPr>
          <w:p w:rsidR="00CB184B" w:rsidRPr="00A25B08" w:rsidRDefault="00CB184B" w:rsidP="00E81E35">
            <w:pPr>
              <w:jc w:val="center"/>
              <w:rPr>
                <w:color w:val="000000"/>
              </w:rPr>
            </w:pPr>
            <w:r w:rsidRPr="00A25B08">
              <w:rPr>
                <w:color w:val="000000"/>
              </w:rPr>
              <w:t>0.00054</w:t>
            </w:r>
          </w:p>
        </w:tc>
        <w:tc>
          <w:tcPr>
            <w:tcW w:w="668" w:type="pct"/>
            <w:vAlign w:val="center"/>
          </w:tcPr>
          <w:p w:rsidR="00CB184B" w:rsidRPr="00A25B08" w:rsidRDefault="00F706D0" w:rsidP="00E81E35">
            <w:pPr>
              <w:jc w:val="center"/>
              <w:rPr>
                <w:color w:val="000000"/>
              </w:rPr>
            </w:pPr>
            <w:r w:rsidRPr="00A25B08">
              <w:rPr>
                <w:color w:val="000000"/>
              </w:rPr>
              <w:t>0.00036</w:t>
            </w:r>
          </w:p>
        </w:tc>
      </w:tr>
      <w:tr w:rsidR="008F1532" w:rsidRPr="00D73EA1" w:rsidTr="00E81E35">
        <w:tc>
          <w:tcPr>
            <w:tcW w:w="229" w:type="pct"/>
          </w:tcPr>
          <w:p w:rsidR="008F1532" w:rsidRPr="00D73EA1" w:rsidRDefault="008F1532" w:rsidP="00E81E35">
            <w:pPr>
              <w:spacing w:before="120" w:after="120" w:line="264" w:lineRule="auto"/>
              <w:jc w:val="center"/>
              <w:rPr>
                <w:lang w:val="nl-NL"/>
              </w:rPr>
            </w:pPr>
            <w:r w:rsidRPr="00D73EA1">
              <w:rPr>
                <w:lang w:val="nl-NL"/>
              </w:rPr>
              <w:t>4</w:t>
            </w:r>
          </w:p>
        </w:tc>
        <w:tc>
          <w:tcPr>
            <w:tcW w:w="1751" w:type="pct"/>
            <w:vAlign w:val="center"/>
          </w:tcPr>
          <w:p w:rsidR="008F1532" w:rsidRPr="00993DF0" w:rsidRDefault="008F1532" w:rsidP="00E81E35">
            <w:pPr>
              <w:spacing w:before="40" w:after="40" w:line="240" w:lineRule="exact"/>
              <w:jc w:val="both"/>
              <w:rPr>
                <w:sz w:val="28"/>
                <w:szCs w:val="28"/>
                <w:lang w:val="nl-NL"/>
              </w:rPr>
            </w:pPr>
            <w:r>
              <w:rPr>
                <w:lang w:val="nl-NL"/>
              </w:rPr>
              <w:t>Dự án, c</w:t>
            </w:r>
            <w:r w:rsidRPr="00D73EA1">
              <w:rPr>
                <w:lang w:val="nl-NL"/>
              </w:rPr>
              <w:t xml:space="preserve">ông trình </w:t>
            </w:r>
            <w:r w:rsidRPr="00993DF0">
              <w:rPr>
                <w:bCs/>
                <w:color w:val="000000"/>
                <w:lang w:val="nl-NL"/>
              </w:rPr>
              <w:t>khác</w:t>
            </w:r>
          </w:p>
        </w:tc>
        <w:tc>
          <w:tcPr>
            <w:tcW w:w="442" w:type="pct"/>
            <w:vAlign w:val="center"/>
          </w:tcPr>
          <w:p w:rsidR="00F706D0" w:rsidRPr="00A25B08" w:rsidRDefault="00F706D0" w:rsidP="00E81E35">
            <w:pPr>
              <w:jc w:val="center"/>
              <w:rPr>
                <w:color w:val="000000"/>
              </w:rPr>
            </w:pPr>
            <w:r w:rsidRPr="00A25B08">
              <w:rPr>
                <w:color w:val="000000"/>
              </w:rPr>
              <w:t>0.00444</w:t>
            </w:r>
          </w:p>
        </w:tc>
        <w:tc>
          <w:tcPr>
            <w:tcW w:w="451" w:type="pct"/>
            <w:vAlign w:val="center"/>
          </w:tcPr>
          <w:p w:rsidR="00F706D0" w:rsidRPr="00A25B08" w:rsidRDefault="00F706D0" w:rsidP="00E81E35">
            <w:pPr>
              <w:jc w:val="center"/>
              <w:rPr>
                <w:color w:val="000000"/>
              </w:rPr>
            </w:pPr>
            <w:r w:rsidRPr="00A25B08">
              <w:rPr>
                <w:color w:val="000000"/>
              </w:rPr>
              <w:t>0.00240</w:t>
            </w:r>
          </w:p>
        </w:tc>
        <w:tc>
          <w:tcPr>
            <w:tcW w:w="467" w:type="pct"/>
            <w:vAlign w:val="center"/>
          </w:tcPr>
          <w:p w:rsidR="00F706D0" w:rsidRPr="00A25B08" w:rsidRDefault="00F706D0" w:rsidP="00E81E35">
            <w:pPr>
              <w:jc w:val="center"/>
              <w:rPr>
                <w:color w:val="000000"/>
              </w:rPr>
            </w:pPr>
            <w:r w:rsidRPr="00A25B08">
              <w:rPr>
                <w:color w:val="000000"/>
              </w:rPr>
              <w:t>0.00134</w:t>
            </w:r>
          </w:p>
        </w:tc>
        <w:tc>
          <w:tcPr>
            <w:tcW w:w="515" w:type="pct"/>
            <w:vAlign w:val="center"/>
          </w:tcPr>
          <w:p w:rsidR="00F706D0" w:rsidRPr="00A25B08" w:rsidRDefault="00F706D0" w:rsidP="00E81E35">
            <w:pPr>
              <w:jc w:val="center"/>
              <w:rPr>
                <w:color w:val="000000"/>
              </w:rPr>
            </w:pPr>
            <w:r w:rsidRPr="00A25B08">
              <w:rPr>
                <w:color w:val="000000"/>
              </w:rPr>
              <w:t>0.00089</w:t>
            </w:r>
          </w:p>
        </w:tc>
        <w:tc>
          <w:tcPr>
            <w:tcW w:w="477" w:type="pct"/>
            <w:vAlign w:val="center"/>
          </w:tcPr>
          <w:p w:rsidR="00F706D0" w:rsidRPr="00A25B08" w:rsidRDefault="00F706D0" w:rsidP="00E81E35">
            <w:pPr>
              <w:jc w:val="center"/>
              <w:rPr>
                <w:color w:val="000000"/>
              </w:rPr>
            </w:pPr>
            <w:r w:rsidRPr="00A25B08">
              <w:rPr>
                <w:color w:val="000000"/>
              </w:rPr>
              <w:t>0.00050</w:t>
            </w:r>
          </w:p>
        </w:tc>
        <w:tc>
          <w:tcPr>
            <w:tcW w:w="668" w:type="pct"/>
            <w:vAlign w:val="center"/>
          </w:tcPr>
          <w:p w:rsidR="00F706D0" w:rsidRPr="00A25B08" w:rsidRDefault="00F706D0" w:rsidP="00E81E35">
            <w:pPr>
              <w:jc w:val="center"/>
              <w:rPr>
                <w:color w:val="000000"/>
              </w:rPr>
            </w:pPr>
            <w:r w:rsidRPr="00A25B08">
              <w:rPr>
                <w:color w:val="000000"/>
              </w:rPr>
              <w:t>0.00033</w:t>
            </w:r>
          </w:p>
        </w:tc>
      </w:tr>
    </w:tbl>
    <w:bookmarkEnd w:id="4"/>
    <w:p w:rsidR="008F1532" w:rsidRPr="00D55F95" w:rsidRDefault="008F1532" w:rsidP="008F1532">
      <w:pPr>
        <w:spacing w:before="120"/>
        <w:ind w:firstLine="720"/>
        <w:jc w:val="both"/>
        <w:rPr>
          <w:b/>
          <w:i/>
          <w:sz w:val="28"/>
          <w:szCs w:val="28"/>
          <w:lang w:val="sv-SE"/>
        </w:rPr>
      </w:pPr>
      <w:r>
        <w:rPr>
          <w:b/>
          <w:sz w:val="28"/>
          <w:szCs w:val="28"/>
          <w:lang w:val="sv-SE"/>
        </w:rPr>
        <w:t xml:space="preserve"> </w:t>
      </w:r>
      <w:r w:rsidRPr="00D55F95">
        <w:rPr>
          <w:b/>
          <w:i/>
          <w:sz w:val="28"/>
          <w:szCs w:val="28"/>
          <w:lang w:val="sv-SE"/>
        </w:rPr>
        <w:t xml:space="preserve">Ghi chú: </w:t>
      </w:r>
      <w:r w:rsidRPr="00D55F95">
        <w:rPr>
          <w:i/>
          <w:sz w:val="28"/>
          <w:szCs w:val="28"/>
          <w:lang w:val="sv-SE"/>
        </w:rPr>
        <w:t>Danh mục d</w:t>
      </w:r>
      <w:r w:rsidRPr="008C3CD8">
        <w:rPr>
          <w:i/>
          <w:sz w:val="28"/>
          <w:szCs w:val="28"/>
          <w:lang w:val="sv-SE"/>
        </w:rPr>
        <w:t xml:space="preserve">ự án, công trình thuộc Mục 1, 2, 3 Biểu mức này xác định theo quy định tại </w:t>
      </w:r>
      <w:r w:rsidR="001377F8" w:rsidRPr="00A25B08">
        <w:rPr>
          <w:bCs/>
          <w:i/>
          <w:sz w:val="28"/>
          <w:szCs w:val="28"/>
          <w:lang w:val="sv-SE"/>
        </w:rPr>
        <w:t>Phụ lục X ban hành kèm theo Nghị định số 175/2024/NĐ-CP ngày 30 tháng 12 năm 2024 của Chính phủ quy định chi tiết một số điều và biện pháp thi hành </w:t>
      </w:r>
      <w:bookmarkStart w:id="5" w:name="tvpllink_mdzzpwjltw_2"/>
      <w:r w:rsidR="007C5CEF" w:rsidRPr="00A25B08">
        <w:rPr>
          <w:bCs/>
          <w:i/>
          <w:sz w:val="28"/>
          <w:szCs w:val="28"/>
          <w:lang w:val="nl-NL"/>
        </w:rPr>
        <w:fldChar w:fldCharType="begin"/>
      </w:r>
      <w:r w:rsidR="001377F8" w:rsidRPr="00A25B08">
        <w:rPr>
          <w:bCs/>
          <w:i/>
          <w:sz w:val="28"/>
          <w:szCs w:val="28"/>
          <w:lang w:val="sv-SE"/>
        </w:rPr>
        <w:instrText xml:space="preserve"> HYPERLINK "https://thuvienphapluat.vn/van-ban/Xay-dung-Do-thi/Luat-Xay-dung-2014-238644.aspx" \t "_blank" </w:instrText>
      </w:r>
      <w:r w:rsidR="007C5CEF" w:rsidRPr="00A25B08">
        <w:rPr>
          <w:bCs/>
          <w:i/>
          <w:sz w:val="28"/>
          <w:szCs w:val="28"/>
          <w:lang w:val="nl-NL"/>
        </w:rPr>
        <w:fldChar w:fldCharType="separate"/>
      </w:r>
      <w:r w:rsidR="001377F8" w:rsidRPr="00A25B08">
        <w:rPr>
          <w:bCs/>
          <w:i/>
          <w:sz w:val="28"/>
          <w:szCs w:val="28"/>
          <w:lang w:val="sv-SE"/>
        </w:rPr>
        <w:t>Luật Xây dựng</w:t>
      </w:r>
      <w:r w:rsidR="007C5CEF" w:rsidRPr="00A25B08">
        <w:rPr>
          <w:bCs/>
          <w:i/>
          <w:sz w:val="28"/>
          <w:szCs w:val="28"/>
          <w:lang w:val="nl-NL"/>
        </w:rPr>
        <w:fldChar w:fldCharType="end"/>
      </w:r>
      <w:bookmarkEnd w:id="5"/>
      <w:r w:rsidR="001377F8" w:rsidRPr="00A25B08">
        <w:rPr>
          <w:bCs/>
          <w:i/>
          <w:sz w:val="28"/>
          <w:szCs w:val="28"/>
          <w:lang w:val="sv-SE"/>
        </w:rPr>
        <w:t> về quản lý hoạt động xây dựng</w:t>
      </w:r>
      <w:r w:rsidRPr="00A25B08">
        <w:rPr>
          <w:bCs/>
          <w:i/>
          <w:sz w:val="28"/>
          <w:szCs w:val="28"/>
          <w:lang w:val="sv-SE"/>
        </w:rPr>
        <w:t>. Trường hợp dự án, công trình không thuộ</w:t>
      </w:r>
      <w:r w:rsidRPr="008C3CD8">
        <w:rPr>
          <w:i/>
          <w:sz w:val="28"/>
          <w:szCs w:val="28"/>
          <w:lang w:val="sv-SE"/>
        </w:rPr>
        <w:t>c danh mục quy định tại Nghị định nêu trên thì được xác định theo Mục 4 Biểu mức này.</w:t>
      </w:r>
    </w:p>
    <w:p w:rsidR="008F1532" w:rsidRDefault="008F1532" w:rsidP="008F1532">
      <w:pPr>
        <w:spacing w:before="120"/>
        <w:ind w:firstLine="720"/>
        <w:jc w:val="both"/>
        <w:rPr>
          <w:b/>
          <w:sz w:val="28"/>
          <w:szCs w:val="28"/>
          <w:lang w:val="sv-SE"/>
        </w:rPr>
      </w:pPr>
    </w:p>
    <w:p w:rsidR="008F1532" w:rsidRDefault="008F1532" w:rsidP="008F1532">
      <w:pPr>
        <w:spacing w:before="120"/>
        <w:ind w:firstLine="720"/>
        <w:jc w:val="both"/>
        <w:rPr>
          <w:b/>
          <w:sz w:val="28"/>
          <w:szCs w:val="28"/>
          <w:lang w:val="sv-SE"/>
        </w:rPr>
      </w:pPr>
    </w:p>
    <w:p w:rsidR="00A25B08" w:rsidRDefault="00A25B08">
      <w:pPr>
        <w:rPr>
          <w:b/>
          <w:sz w:val="28"/>
          <w:szCs w:val="28"/>
          <w:lang w:val="sv-SE"/>
        </w:rPr>
      </w:pPr>
      <w:r>
        <w:rPr>
          <w:b/>
          <w:sz w:val="28"/>
          <w:szCs w:val="28"/>
          <w:lang w:val="sv-SE"/>
        </w:rPr>
        <w:br w:type="page"/>
      </w:r>
    </w:p>
    <w:p w:rsidR="008F1532" w:rsidRDefault="008F1532" w:rsidP="008F1532">
      <w:pPr>
        <w:spacing w:before="120"/>
        <w:ind w:firstLine="720"/>
        <w:jc w:val="both"/>
        <w:rPr>
          <w:b/>
          <w:sz w:val="28"/>
          <w:szCs w:val="28"/>
          <w:lang w:val="sv-SE"/>
        </w:rPr>
      </w:pPr>
      <w:r>
        <w:rPr>
          <w:b/>
          <w:sz w:val="28"/>
          <w:szCs w:val="28"/>
          <w:lang w:val="sv-SE"/>
        </w:rPr>
        <w:lastRenderedPageBreak/>
        <w:t>2</w:t>
      </w:r>
      <w:r w:rsidRPr="00B17437">
        <w:rPr>
          <w:b/>
          <w:sz w:val="28"/>
          <w:szCs w:val="28"/>
          <w:lang w:val="sv-SE"/>
        </w:rPr>
        <w:t xml:space="preserve">. </w:t>
      </w:r>
      <w:r>
        <w:rPr>
          <w:b/>
          <w:sz w:val="28"/>
          <w:szCs w:val="28"/>
          <w:lang w:val="sv-SE"/>
        </w:rPr>
        <w:t>Đối với</w:t>
      </w:r>
      <w:r w:rsidR="007C1969">
        <w:rPr>
          <w:b/>
          <w:sz w:val="28"/>
          <w:szCs w:val="28"/>
          <w:lang w:val="sv-SE"/>
        </w:rPr>
        <w:t xml:space="preserve"> phương tiện giao thông </w:t>
      </w:r>
    </w:p>
    <w:p w:rsidR="008F1532" w:rsidRPr="00881231" w:rsidRDefault="00881231" w:rsidP="00881231">
      <w:pPr>
        <w:ind w:firstLine="720"/>
        <w:jc w:val="right"/>
        <w:rPr>
          <w:b/>
          <w:i/>
          <w:lang w:val="sv-SE"/>
        </w:rPr>
      </w:pPr>
      <w:r w:rsidRPr="00552AD1">
        <w:rPr>
          <w:b/>
          <w:i/>
          <w:lang w:val="sv-SE"/>
        </w:rPr>
        <w:t>Đơn vị tính: Tỷ lệ %</w:t>
      </w:r>
    </w:p>
    <w:tbl>
      <w:tblPr>
        <w:tblW w:w="4975" w:type="pct"/>
        <w:tblLook w:val="04A0"/>
      </w:tblPr>
      <w:tblGrid>
        <w:gridCol w:w="673"/>
        <w:gridCol w:w="3264"/>
        <w:gridCol w:w="2037"/>
        <w:gridCol w:w="2175"/>
        <w:gridCol w:w="2175"/>
        <w:gridCol w:w="2175"/>
        <w:gridCol w:w="2175"/>
      </w:tblGrid>
      <w:tr w:rsidR="008F1532" w:rsidRPr="00D30E31" w:rsidTr="00881231">
        <w:trPr>
          <w:trHeight w:val="1427"/>
        </w:trPr>
        <w:tc>
          <w:tcPr>
            <w:tcW w:w="229" w:type="pct"/>
            <w:tcBorders>
              <w:top w:val="single" w:sz="4" w:space="0" w:color="auto"/>
              <w:left w:val="single" w:sz="4" w:space="0" w:color="auto"/>
              <w:bottom w:val="single" w:sz="4" w:space="0" w:color="auto"/>
              <w:right w:val="single" w:sz="4" w:space="0" w:color="auto"/>
            </w:tcBorders>
            <w:shd w:val="clear" w:color="auto" w:fill="FFFFFF"/>
            <w:vAlign w:val="center"/>
          </w:tcPr>
          <w:p w:rsidR="008F1532" w:rsidRPr="001153CE" w:rsidRDefault="008F1532" w:rsidP="00E81E35">
            <w:pPr>
              <w:jc w:val="center"/>
              <w:rPr>
                <w:b/>
              </w:rPr>
            </w:pPr>
            <w:r w:rsidRPr="001153CE">
              <w:rPr>
                <w:b/>
              </w:rPr>
              <w:t>STT</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tcPr>
          <w:p w:rsidR="008F1532" w:rsidRPr="00E54BA7" w:rsidRDefault="007C5CEF" w:rsidP="00E81E35">
            <w:pPr>
              <w:rPr>
                <w:b/>
                <w:szCs w:val="28"/>
                <w:lang w:val="sv-SE"/>
              </w:rPr>
            </w:pPr>
            <w:r w:rsidRPr="007C5CEF">
              <w:rPr>
                <w:b/>
                <w:noProof/>
                <w:lang w:val="vi-VN" w:eastAsia="vi-VN"/>
              </w:rPr>
              <w:pict>
                <v:shape id="_x0000_s1028" type="#_x0000_t32" style="position:absolute;margin-left:-4.6pt;margin-top:1.05pt;width:162.5pt;height:76.25pt;z-index:251660288;mso-position-horizontal-relative:text;mso-position-vertical-relative:text" o:connectortype="straight"/>
              </w:pict>
            </w:r>
            <w:r w:rsidR="008F1532" w:rsidRPr="00E54BA7">
              <w:rPr>
                <w:b/>
                <w:lang w:val="sv-SE"/>
              </w:rPr>
              <w:t xml:space="preserve">                Tổng mức đầu tư</w:t>
            </w:r>
            <w:r w:rsidR="008F1532" w:rsidRPr="00E54BA7">
              <w:rPr>
                <w:b/>
                <w:szCs w:val="28"/>
                <w:lang w:val="sv-SE"/>
              </w:rPr>
              <w:t xml:space="preserve"> </w:t>
            </w:r>
          </w:p>
          <w:p w:rsidR="008F1532" w:rsidRPr="00E54BA7" w:rsidRDefault="008F1532" w:rsidP="00E81E35">
            <w:pPr>
              <w:rPr>
                <w:b/>
                <w:sz w:val="28"/>
                <w:lang w:val="sv-SE"/>
              </w:rPr>
            </w:pPr>
            <w:r w:rsidRPr="00E54BA7">
              <w:rPr>
                <w:b/>
                <w:szCs w:val="28"/>
                <w:lang w:val="sv-SE"/>
              </w:rPr>
              <w:t xml:space="preserve">                              </w:t>
            </w:r>
            <w:r w:rsidRPr="00E54BA7">
              <w:rPr>
                <w:b/>
                <w:lang w:val="sv-SE"/>
              </w:rPr>
              <w:t>(tỷ đồng)</w:t>
            </w:r>
          </w:p>
          <w:p w:rsidR="002E7BF7" w:rsidRPr="008C3CD8" w:rsidRDefault="008F1532" w:rsidP="00E81E35">
            <w:pPr>
              <w:tabs>
                <w:tab w:val="center" w:pos="4320"/>
                <w:tab w:val="right" w:pos="8640"/>
              </w:tabs>
              <w:spacing w:before="120" w:after="120" w:line="320" w:lineRule="exact"/>
              <w:rPr>
                <w:b/>
              </w:rPr>
            </w:pPr>
            <w:r w:rsidRPr="008C3CD8">
              <w:rPr>
                <w:b/>
              </w:rPr>
              <w:t xml:space="preserve"> </w:t>
            </w:r>
          </w:p>
          <w:p w:rsidR="008F1532" w:rsidRPr="00E54BA7" w:rsidRDefault="00881231" w:rsidP="00E81E35">
            <w:pPr>
              <w:tabs>
                <w:tab w:val="center" w:pos="4320"/>
                <w:tab w:val="right" w:pos="8640"/>
              </w:tabs>
              <w:spacing w:before="120" w:after="120" w:line="320" w:lineRule="exact"/>
              <w:rPr>
                <w:b/>
                <w:color w:val="000000"/>
                <w:sz w:val="28"/>
                <w:szCs w:val="28"/>
                <w:vertAlign w:val="subscript"/>
                <w:lang w:val="nl-NL"/>
              </w:rPr>
            </w:pPr>
            <w:r>
              <w:rPr>
                <w:b/>
                <w:lang w:val="nl-NL"/>
              </w:rPr>
              <w:t>Phương tiện giao thông</w:t>
            </w:r>
          </w:p>
        </w:tc>
        <w:tc>
          <w:tcPr>
            <w:tcW w:w="6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1532" w:rsidRPr="00BF54A3" w:rsidRDefault="008F1532" w:rsidP="00E81E35">
            <w:pPr>
              <w:jc w:val="center"/>
              <w:rPr>
                <w:b/>
                <w:sz w:val="22"/>
                <w:szCs w:val="22"/>
              </w:rPr>
            </w:pPr>
            <w:r w:rsidRPr="00BF54A3">
              <w:rPr>
                <w:b/>
                <w:sz w:val="22"/>
                <w:szCs w:val="22"/>
              </w:rPr>
              <w:t>Đến 05</w:t>
            </w:r>
          </w:p>
        </w:tc>
        <w:tc>
          <w:tcPr>
            <w:tcW w:w="7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1532" w:rsidRPr="00BF54A3" w:rsidRDefault="008F1532" w:rsidP="00E81E35">
            <w:pPr>
              <w:jc w:val="center"/>
              <w:rPr>
                <w:b/>
                <w:sz w:val="22"/>
                <w:szCs w:val="22"/>
              </w:rPr>
            </w:pPr>
            <w:r w:rsidRPr="00BF54A3">
              <w:rPr>
                <w:b/>
                <w:sz w:val="22"/>
                <w:szCs w:val="22"/>
              </w:rPr>
              <w:t>50</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532" w:rsidRPr="00BF54A3" w:rsidRDefault="008F1532" w:rsidP="00E81E35">
            <w:pPr>
              <w:jc w:val="center"/>
              <w:rPr>
                <w:b/>
                <w:sz w:val="22"/>
                <w:szCs w:val="22"/>
              </w:rPr>
            </w:pPr>
            <w:r w:rsidRPr="00BF54A3">
              <w:rPr>
                <w:b/>
                <w:sz w:val="22"/>
                <w:szCs w:val="22"/>
              </w:rPr>
              <w:t>100</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F1532" w:rsidRPr="00BF54A3" w:rsidRDefault="008F1532" w:rsidP="00E81E35">
            <w:pPr>
              <w:jc w:val="center"/>
              <w:rPr>
                <w:b/>
                <w:sz w:val="22"/>
                <w:szCs w:val="22"/>
              </w:rPr>
            </w:pPr>
            <w:r w:rsidRPr="00BF54A3">
              <w:rPr>
                <w:b/>
                <w:sz w:val="22"/>
                <w:szCs w:val="22"/>
              </w:rPr>
              <w:t>500</w:t>
            </w:r>
          </w:p>
        </w:tc>
        <w:tc>
          <w:tcPr>
            <w:tcW w:w="74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1532" w:rsidRPr="00BF54A3" w:rsidRDefault="008F1532" w:rsidP="00E81E35">
            <w:pPr>
              <w:jc w:val="center"/>
              <w:rPr>
                <w:b/>
                <w:sz w:val="22"/>
                <w:szCs w:val="22"/>
              </w:rPr>
            </w:pPr>
            <w:r w:rsidRPr="00BF54A3">
              <w:rPr>
                <w:b/>
                <w:sz w:val="22"/>
                <w:szCs w:val="22"/>
              </w:rPr>
              <w:t>Từ 1000 trở lên</w:t>
            </w:r>
          </w:p>
        </w:tc>
      </w:tr>
      <w:tr w:rsidR="008F1532" w:rsidRPr="00D30E31" w:rsidTr="00881231">
        <w:trPr>
          <w:trHeight w:val="375"/>
        </w:trPr>
        <w:tc>
          <w:tcPr>
            <w:tcW w:w="229" w:type="pct"/>
            <w:tcBorders>
              <w:top w:val="single" w:sz="4" w:space="0" w:color="auto"/>
              <w:left w:val="single" w:sz="4" w:space="0" w:color="auto"/>
              <w:bottom w:val="single" w:sz="4" w:space="0" w:color="auto"/>
              <w:right w:val="single" w:sz="4" w:space="0" w:color="auto"/>
            </w:tcBorders>
            <w:vAlign w:val="center"/>
          </w:tcPr>
          <w:p w:rsidR="008F1532" w:rsidRPr="00A25B08" w:rsidRDefault="00550B00" w:rsidP="00DC58CD">
            <w:pPr>
              <w:jc w:val="center"/>
              <w:rPr>
                <w:bCs/>
                <w:iCs/>
                <w:color w:val="000000"/>
              </w:rPr>
            </w:pPr>
            <w:r w:rsidRPr="00A25B08">
              <w:rPr>
                <w:bCs/>
                <w:iCs/>
                <w:color w:val="000000"/>
              </w:rPr>
              <w:t>1</w:t>
            </w:r>
          </w:p>
        </w:tc>
        <w:tc>
          <w:tcPr>
            <w:tcW w:w="1112" w:type="pct"/>
            <w:tcBorders>
              <w:top w:val="single" w:sz="4" w:space="0" w:color="auto"/>
              <w:left w:val="single" w:sz="4" w:space="0" w:color="auto"/>
              <w:bottom w:val="single" w:sz="4" w:space="0" w:color="auto"/>
              <w:right w:val="single" w:sz="4" w:space="0" w:color="auto"/>
            </w:tcBorders>
            <w:vAlign w:val="center"/>
          </w:tcPr>
          <w:p w:rsidR="008F1532" w:rsidRPr="00D30E31" w:rsidRDefault="008F1532" w:rsidP="00E81E35">
            <w:pPr>
              <w:jc w:val="both"/>
              <w:rPr>
                <w:color w:val="000000"/>
                <w:sz w:val="28"/>
                <w:szCs w:val="28"/>
              </w:rPr>
            </w:pPr>
            <w:r w:rsidRPr="00D30E31">
              <w:rPr>
                <w:bCs/>
                <w:color w:val="000000"/>
              </w:rPr>
              <w:t>Tàu thủy</w:t>
            </w:r>
          </w:p>
        </w:tc>
        <w:tc>
          <w:tcPr>
            <w:tcW w:w="694" w:type="pct"/>
            <w:tcBorders>
              <w:top w:val="single" w:sz="4" w:space="0" w:color="auto"/>
              <w:left w:val="single" w:sz="4" w:space="0" w:color="auto"/>
              <w:bottom w:val="single" w:sz="4" w:space="0" w:color="auto"/>
              <w:right w:val="single" w:sz="4" w:space="0" w:color="auto"/>
            </w:tcBorders>
            <w:noWrap/>
            <w:vAlign w:val="center"/>
            <w:hideMark/>
          </w:tcPr>
          <w:p w:rsidR="009462F9" w:rsidRPr="00A25B08" w:rsidRDefault="009462F9" w:rsidP="00E81E35">
            <w:pPr>
              <w:jc w:val="center"/>
              <w:rPr>
                <w:color w:val="000000"/>
                <w:sz w:val="22"/>
                <w:szCs w:val="22"/>
              </w:rPr>
            </w:pPr>
            <w:r w:rsidRPr="00A25B08">
              <w:rPr>
                <w:color w:val="000000"/>
                <w:sz w:val="22"/>
                <w:szCs w:val="22"/>
              </w:rPr>
              <w:t>0.01215</w:t>
            </w:r>
          </w:p>
        </w:tc>
        <w:tc>
          <w:tcPr>
            <w:tcW w:w="741" w:type="pct"/>
            <w:tcBorders>
              <w:top w:val="single" w:sz="4" w:space="0" w:color="auto"/>
              <w:left w:val="single" w:sz="4" w:space="0" w:color="auto"/>
              <w:bottom w:val="single" w:sz="4" w:space="0" w:color="auto"/>
              <w:right w:val="single" w:sz="4" w:space="0" w:color="auto"/>
            </w:tcBorders>
            <w:noWrap/>
            <w:vAlign w:val="center"/>
            <w:hideMark/>
          </w:tcPr>
          <w:p w:rsidR="009462F9" w:rsidRPr="00A25B08" w:rsidRDefault="009462F9" w:rsidP="00E81E35">
            <w:pPr>
              <w:jc w:val="center"/>
              <w:rPr>
                <w:color w:val="000000"/>
                <w:sz w:val="22"/>
                <w:szCs w:val="22"/>
              </w:rPr>
            </w:pPr>
            <w:r w:rsidRPr="00A25B08">
              <w:rPr>
                <w:color w:val="000000"/>
                <w:sz w:val="22"/>
                <w:szCs w:val="22"/>
              </w:rPr>
              <w:t>0.006</w:t>
            </w:r>
            <w:r w:rsidR="004858B4" w:rsidRPr="00A25B08">
              <w:rPr>
                <w:color w:val="000000"/>
                <w:sz w:val="22"/>
                <w:szCs w:val="22"/>
              </w:rPr>
              <w:t>40</w:t>
            </w:r>
          </w:p>
        </w:tc>
        <w:tc>
          <w:tcPr>
            <w:tcW w:w="741" w:type="pct"/>
            <w:tcBorders>
              <w:top w:val="single" w:sz="4" w:space="0" w:color="auto"/>
              <w:left w:val="single" w:sz="4" w:space="0" w:color="auto"/>
              <w:bottom w:val="single" w:sz="4" w:space="0" w:color="auto"/>
              <w:right w:val="single" w:sz="4" w:space="0" w:color="auto"/>
            </w:tcBorders>
            <w:vAlign w:val="center"/>
            <w:hideMark/>
          </w:tcPr>
          <w:p w:rsidR="004858B4" w:rsidRPr="00A25B08" w:rsidRDefault="004858B4" w:rsidP="00E81E35">
            <w:pPr>
              <w:jc w:val="center"/>
              <w:rPr>
                <w:color w:val="000000"/>
                <w:sz w:val="22"/>
                <w:szCs w:val="22"/>
              </w:rPr>
            </w:pPr>
            <w:r w:rsidRPr="00A25B08">
              <w:rPr>
                <w:color w:val="000000"/>
                <w:sz w:val="22"/>
                <w:szCs w:val="22"/>
              </w:rPr>
              <w:t>0.00427</w:t>
            </w:r>
          </w:p>
        </w:tc>
        <w:tc>
          <w:tcPr>
            <w:tcW w:w="741" w:type="pct"/>
            <w:tcBorders>
              <w:top w:val="single" w:sz="4" w:space="0" w:color="auto"/>
              <w:left w:val="single" w:sz="4" w:space="0" w:color="auto"/>
              <w:bottom w:val="single" w:sz="4" w:space="0" w:color="auto"/>
              <w:right w:val="single" w:sz="4" w:space="0" w:color="auto"/>
            </w:tcBorders>
            <w:vAlign w:val="center"/>
            <w:hideMark/>
          </w:tcPr>
          <w:p w:rsidR="004858B4" w:rsidRPr="00A25B08" w:rsidRDefault="004858B4" w:rsidP="00E81E35">
            <w:pPr>
              <w:jc w:val="center"/>
              <w:rPr>
                <w:color w:val="000000"/>
                <w:sz w:val="22"/>
                <w:szCs w:val="22"/>
              </w:rPr>
            </w:pPr>
            <w:r w:rsidRPr="00A25B08">
              <w:rPr>
                <w:color w:val="000000"/>
                <w:sz w:val="22"/>
                <w:szCs w:val="22"/>
              </w:rPr>
              <w:t>0.00237</w:t>
            </w:r>
          </w:p>
        </w:tc>
        <w:tc>
          <w:tcPr>
            <w:tcW w:w="741" w:type="pct"/>
            <w:tcBorders>
              <w:top w:val="single" w:sz="4" w:space="0" w:color="auto"/>
              <w:left w:val="single" w:sz="4" w:space="0" w:color="auto"/>
              <w:bottom w:val="single" w:sz="4" w:space="0" w:color="auto"/>
              <w:right w:val="single" w:sz="4" w:space="0" w:color="auto"/>
            </w:tcBorders>
            <w:noWrap/>
            <w:vAlign w:val="center"/>
            <w:hideMark/>
          </w:tcPr>
          <w:p w:rsidR="004858B4" w:rsidRPr="00A25B08" w:rsidRDefault="00EE0DA9" w:rsidP="00E81E35">
            <w:pPr>
              <w:jc w:val="center"/>
              <w:rPr>
                <w:color w:val="000000"/>
                <w:sz w:val="22"/>
                <w:szCs w:val="22"/>
              </w:rPr>
            </w:pPr>
            <w:r w:rsidRPr="00A25B08">
              <w:rPr>
                <w:color w:val="000000"/>
                <w:sz w:val="22"/>
                <w:szCs w:val="22"/>
              </w:rPr>
              <w:t>0.00158</w:t>
            </w:r>
          </w:p>
        </w:tc>
      </w:tr>
    </w:tbl>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8F1532" w:rsidRDefault="008F1532" w:rsidP="008F1532">
      <w:pPr>
        <w:shd w:val="clear" w:color="auto" w:fill="FFFFFF"/>
        <w:spacing w:before="120" w:after="120"/>
        <w:jc w:val="both"/>
        <w:rPr>
          <w:b/>
          <w:sz w:val="28"/>
          <w:szCs w:val="28"/>
          <w:lang w:val="sv-SE"/>
        </w:rPr>
      </w:pPr>
    </w:p>
    <w:p w:rsidR="00D61A00" w:rsidRPr="009548A7" w:rsidRDefault="00D61A00" w:rsidP="00550DD8">
      <w:pPr>
        <w:rPr>
          <w:sz w:val="28"/>
          <w:szCs w:val="28"/>
        </w:rPr>
      </w:pPr>
    </w:p>
    <w:sectPr w:rsidR="00D61A00" w:rsidRPr="009548A7" w:rsidSect="007C1969">
      <w:pgSz w:w="16834" w:h="11909" w:orient="landscape" w:code="9"/>
      <w:pgMar w:top="1729" w:right="1151" w:bottom="1440" w:left="1151" w:header="567"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914" w:rsidRDefault="00966914" w:rsidP="00C70FC4">
      <w:r>
        <w:separator/>
      </w:r>
    </w:p>
  </w:endnote>
  <w:endnote w:type="continuationSeparator" w:id="0">
    <w:p w:rsidR="00966914" w:rsidRDefault="00966914"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7C5CEF"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81" w:rsidRPr="00441C09" w:rsidRDefault="00713981">
    <w:pPr>
      <w:pStyle w:val="Footer"/>
      <w:jc w:val="right"/>
      <w:rPr>
        <w:rFonts w:ascii="Times New Roman" w:hAnsi="Times New Roman"/>
      </w:rPr>
    </w:pPr>
  </w:p>
  <w:p w:rsidR="003D4B07" w:rsidRDefault="003D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914" w:rsidRDefault="00966914" w:rsidP="00C70FC4">
      <w:r>
        <w:separator/>
      </w:r>
    </w:p>
  </w:footnote>
  <w:footnote w:type="continuationSeparator" w:id="0">
    <w:p w:rsidR="00966914" w:rsidRDefault="00966914" w:rsidP="00C7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494586"/>
      <w:docPartObj>
        <w:docPartGallery w:val="Page Numbers (Top of Page)"/>
        <w:docPartUnique/>
      </w:docPartObj>
    </w:sdtPr>
    <w:sdtContent>
      <w:p w:rsidR="007C1969" w:rsidRDefault="007C5CEF">
        <w:pPr>
          <w:pStyle w:val="Header"/>
          <w:jc w:val="center"/>
        </w:pPr>
        <w:r>
          <w:fldChar w:fldCharType="begin"/>
        </w:r>
        <w:r w:rsidR="00FB2D05">
          <w:instrText xml:space="preserve"> PAGE   \* MERGEFORMAT </w:instrText>
        </w:r>
        <w:r>
          <w:fldChar w:fldCharType="separate"/>
        </w:r>
        <w:r w:rsidR="00482C81">
          <w:rPr>
            <w:noProof/>
          </w:rPr>
          <w:t>4</w:t>
        </w:r>
        <w:r>
          <w:rPr>
            <w:noProof/>
          </w:rPr>
          <w:fldChar w:fldCharType="end"/>
        </w:r>
      </w:p>
    </w:sdtContent>
  </w:sdt>
  <w:p w:rsidR="007C1969" w:rsidRDefault="007C1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0DD8"/>
    <w:rsid w:val="00003FC3"/>
    <w:rsid w:val="000054BC"/>
    <w:rsid w:val="000120FB"/>
    <w:rsid w:val="00012CAD"/>
    <w:rsid w:val="000134B2"/>
    <w:rsid w:val="00015E6A"/>
    <w:rsid w:val="00016CC8"/>
    <w:rsid w:val="00022A69"/>
    <w:rsid w:val="000302D5"/>
    <w:rsid w:val="00035135"/>
    <w:rsid w:val="000447DA"/>
    <w:rsid w:val="0005040D"/>
    <w:rsid w:val="0005050C"/>
    <w:rsid w:val="0005235C"/>
    <w:rsid w:val="000551BD"/>
    <w:rsid w:val="000665CE"/>
    <w:rsid w:val="0007068D"/>
    <w:rsid w:val="00085626"/>
    <w:rsid w:val="00092CF0"/>
    <w:rsid w:val="00094D95"/>
    <w:rsid w:val="00096E9A"/>
    <w:rsid w:val="000977E1"/>
    <w:rsid w:val="000B3B9A"/>
    <w:rsid w:val="000D5119"/>
    <w:rsid w:val="000D62F6"/>
    <w:rsid w:val="000E2B4F"/>
    <w:rsid w:val="000F1D24"/>
    <w:rsid w:val="000F61ED"/>
    <w:rsid w:val="000F7ADE"/>
    <w:rsid w:val="00107126"/>
    <w:rsid w:val="00120337"/>
    <w:rsid w:val="00122D81"/>
    <w:rsid w:val="0012692A"/>
    <w:rsid w:val="0013091C"/>
    <w:rsid w:val="00131EA0"/>
    <w:rsid w:val="00134C8E"/>
    <w:rsid w:val="001377F8"/>
    <w:rsid w:val="00137FE8"/>
    <w:rsid w:val="00140FFE"/>
    <w:rsid w:val="0014386A"/>
    <w:rsid w:val="001513F4"/>
    <w:rsid w:val="00156725"/>
    <w:rsid w:val="0016392C"/>
    <w:rsid w:val="00164D8C"/>
    <w:rsid w:val="00166264"/>
    <w:rsid w:val="00166A3A"/>
    <w:rsid w:val="00173CCB"/>
    <w:rsid w:val="001833EB"/>
    <w:rsid w:val="00183A17"/>
    <w:rsid w:val="00183AE1"/>
    <w:rsid w:val="001840BB"/>
    <w:rsid w:val="00184E7C"/>
    <w:rsid w:val="00185514"/>
    <w:rsid w:val="001A083D"/>
    <w:rsid w:val="001A24A1"/>
    <w:rsid w:val="001A3821"/>
    <w:rsid w:val="001A4E86"/>
    <w:rsid w:val="001C1D17"/>
    <w:rsid w:val="001C360B"/>
    <w:rsid w:val="001C409E"/>
    <w:rsid w:val="001C5D00"/>
    <w:rsid w:val="001E0ACF"/>
    <w:rsid w:val="001E2782"/>
    <w:rsid w:val="001E7787"/>
    <w:rsid w:val="001F219C"/>
    <w:rsid w:val="001F2A7F"/>
    <w:rsid w:val="001F2E5F"/>
    <w:rsid w:val="001F378B"/>
    <w:rsid w:val="001F4812"/>
    <w:rsid w:val="001F56DD"/>
    <w:rsid w:val="001F7BB9"/>
    <w:rsid w:val="0020501E"/>
    <w:rsid w:val="00207CD8"/>
    <w:rsid w:val="0021506C"/>
    <w:rsid w:val="00217CD6"/>
    <w:rsid w:val="00220260"/>
    <w:rsid w:val="0022648A"/>
    <w:rsid w:val="00233527"/>
    <w:rsid w:val="002345ED"/>
    <w:rsid w:val="00236B48"/>
    <w:rsid w:val="00237BA9"/>
    <w:rsid w:val="00241AB8"/>
    <w:rsid w:val="002536F5"/>
    <w:rsid w:val="00274EBC"/>
    <w:rsid w:val="00277DF4"/>
    <w:rsid w:val="00285463"/>
    <w:rsid w:val="00292037"/>
    <w:rsid w:val="00294AF3"/>
    <w:rsid w:val="0029575F"/>
    <w:rsid w:val="002A218D"/>
    <w:rsid w:val="002A7A39"/>
    <w:rsid w:val="002B5167"/>
    <w:rsid w:val="002C2C48"/>
    <w:rsid w:val="002C5800"/>
    <w:rsid w:val="002D1AD3"/>
    <w:rsid w:val="002E4295"/>
    <w:rsid w:val="002E55CC"/>
    <w:rsid w:val="002E6FEE"/>
    <w:rsid w:val="002E7BF7"/>
    <w:rsid w:val="002F0FE8"/>
    <w:rsid w:val="002F16B7"/>
    <w:rsid w:val="003062E2"/>
    <w:rsid w:val="00306E8F"/>
    <w:rsid w:val="00307A4F"/>
    <w:rsid w:val="00307B21"/>
    <w:rsid w:val="00307CB0"/>
    <w:rsid w:val="00316E67"/>
    <w:rsid w:val="00326D8C"/>
    <w:rsid w:val="00326E2F"/>
    <w:rsid w:val="00333208"/>
    <w:rsid w:val="0034025C"/>
    <w:rsid w:val="00345A0D"/>
    <w:rsid w:val="00352DAB"/>
    <w:rsid w:val="00355A93"/>
    <w:rsid w:val="00364DB3"/>
    <w:rsid w:val="00364EDE"/>
    <w:rsid w:val="00380051"/>
    <w:rsid w:val="00380940"/>
    <w:rsid w:val="00385692"/>
    <w:rsid w:val="003868DC"/>
    <w:rsid w:val="00387034"/>
    <w:rsid w:val="003914A3"/>
    <w:rsid w:val="00394F12"/>
    <w:rsid w:val="00395643"/>
    <w:rsid w:val="003A4AAC"/>
    <w:rsid w:val="003B3CD9"/>
    <w:rsid w:val="003B6C47"/>
    <w:rsid w:val="003C70DD"/>
    <w:rsid w:val="003D1B22"/>
    <w:rsid w:val="003D4160"/>
    <w:rsid w:val="003D4B07"/>
    <w:rsid w:val="003D524A"/>
    <w:rsid w:val="003D64A9"/>
    <w:rsid w:val="003E5B80"/>
    <w:rsid w:val="004021B1"/>
    <w:rsid w:val="00402B51"/>
    <w:rsid w:val="00402F7B"/>
    <w:rsid w:val="00403E0B"/>
    <w:rsid w:val="00405AFF"/>
    <w:rsid w:val="00412EBE"/>
    <w:rsid w:val="0041362E"/>
    <w:rsid w:val="004179F6"/>
    <w:rsid w:val="00417C0E"/>
    <w:rsid w:val="0042044B"/>
    <w:rsid w:val="00423D3E"/>
    <w:rsid w:val="00430FC2"/>
    <w:rsid w:val="00435833"/>
    <w:rsid w:val="00441C09"/>
    <w:rsid w:val="00443F26"/>
    <w:rsid w:val="00444AC5"/>
    <w:rsid w:val="004533AF"/>
    <w:rsid w:val="00457312"/>
    <w:rsid w:val="0045734E"/>
    <w:rsid w:val="00466E25"/>
    <w:rsid w:val="00475C7C"/>
    <w:rsid w:val="00476FC3"/>
    <w:rsid w:val="00480CCE"/>
    <w:rsid w:val="004819DA"/>
    <w:rsid w:val="00481A06"/>
    <w:rsid w:val="00482C81"/>
    <w:rsid w:val="004835F8"/>
    <w:rsid w:val="00484EEB"/>
    <w:rsid w:val="004855C5"/>
    <w:rsid w:val="004858B4"/>
    <w:rsid w:val="00486B9D"/>
    <w:rsid w:val="004902C2"/>
    <w:rsid w:val="004955D4"/>
    <w:rsid w:val="004A10B3"/>
    <w:rsid w:val="004A3CF0"/>
    <w:rsid w:val="004A79E9"/>
    <w:rsid w:val="004B39D8"/>
    <w:rsid w:val="004C05D9"/>
    <w:rsid w:val="004C1232"/>
    <w:rsid w:val="004C60D2"/>
    <w:rsid w:val="004C749D"/>
    <w:rsid w:val="004D01A1"/>
    <w:rsid w:val="004D2B3C"/>
    <w:rsid w:val="004E09C1"/>
    <w:rsid w:val="004E3DBA"/>
    <w:rsid w:val="004E50BE"/>
    <w:rsid w:val="004E6759"/>
    <w:rsid w:val="004F6D33"/>
    <w:rsid w:val="00505FD7"/>
    <w:rsid w:val="00506BB2"/>
    <w:rsid w:val="0051174A"/>
    <w:rsid w:val="005179A9"/>
    <w:rsid w:val="0052215B"/>
    <w:rsid w:val="00522E44"/>
    <w:rsid w:val="005255A1"/>
    <w:rsid w:val="00527794"/>
    <w:rsid w:val="00530516"/>
    <w:rsid w:val="00533D71"/>
    <w:rsid w:val="00536663"/>
    <w:rsid w:val="00536A33"/>
    <w:rsid w:val="00546DD7"/>
    <w:rsid w:val="00550B00"/>
    <w:rsid w:val="00550DD8"/>
    <w:rsid w:val="0055788B"/>
    <w:rsid w:val="00575BA7"/>
    <w:rsid w:val="00576F60"/>
    <w:rsid w:val="0058112C"/>
    <w:rsid w:val="00584EB4"/>
    <w:rsid w:val="0058613A"/>
    <w:rsid w:val="00593C34"/>
    <w:rsid w:val="00594373"/>
    <w:rsid w:val="00596759"/>
    <w:rsid w:val="00597CA5"/>
    <w:rsid w:val="00597DF9"/>
    <w:rsid w:val="005A2FDF"/>
    <w:rsid w:val="005A3B61"/>
    <w:rsid w:val="005A777F"/>
    <w:rsid w:val="005C2CE1"/>
    <w:rsid w:val="005C74D7"/>
    <w:rsid w:val="005F0F35"/>
    <w:rsid w:val="005F27C6"/>
    <w:rsid w:val="005F315C"/>
    <w:rsid w:val="005F50C1"/>
    <w:rsid w:val="006116DA"/>
    <w:rsid w:val="00625354"/>
    <w:rsid w:val="00631DB8"/>
    <w:rsid w:val="00641E46"/>
    <w:rsid w:val="006423F7"/>
    <w:rsid w:val="006433E7"/>
    <w:rsid w:val="00644144"/>
    <w:rsid w:val="00654F38"/>
    <w:rsid w:val="00657A83"/>
    <w:rsid w:val="00660A55"/>
    <w:rsid w:val="006717B4"/>
    <w:rsid w:val="00674260"/>
    <w:rsid w:val="00674DD3"/>
    <w:rsid w:val="00687026"/>
    <w:rsid w:val="006877C6"/>
    <w:rsid w:val="0069115F"/>
    <w:rsid w:val="00693AD1"/>
    <w:rsid w:val="006959C9"/>
    <w:rsid w:val="00696200"/>
    <w:rsid w:val="006A0AF0"/>
    <w:rsid w:val="006A4FE6"/>
    <w:rsid w:val="006B0120"/>
    <w:rsid w:val="006F093F"/>
    <w:rsid w:val="006F19D1"/>
    <w:rsid w:val="0070056E"/>
    <w:rsid w:val="00706E18"/>
    <w:rsid w:val="00711868"/>
    <w:rsid w:val="00713981"/>
    <w:rsid w:val="00713C9D"/>
    <w:rsid w:val="00714510"/>
    <w:rsid w:val="00720474"/>
    <w:rsid w:val="00720C52"/>
    <w:rsid w:val="0072173C"/>
    <w:rsid w:val="00722745"/>
    <w:rsid w:val="007247BD"/>
    <w:rsid w:val="0072704D"/>
    <w:rsid w:val="00731AE2"/>
    <w:rsid w:val="00743A3F"/>
    <w:rsid w:val="00747A5C"/>
    <w:rsid w:val="00750247"/>
    <w:rsid w:val="0075170B"/>
    <w:rsid w:val="00755E41"/>
    <w:rsid w:val="00762FC4"/>
    <w:rsid w:val="0076521E"/>
    <w:rsid w:val="00767E90"/>
    <w:rsid w:val="0077267C"/>
    <w:rsid w:val="00775567"/>
    <w:rsid w:val="007760F5"/>
    <w:rsid w:val="00777813"/>
    <w:rsid w:val="00782C0D"/>
    <w:rsid w:val="00786E3A"/>
    <w:rsid w:val="00791811"/>
    <w:rsid w:val="00795169"/>
    <w:rsid w:val="007A172F"/>
    <w:rsid w:val="007A2198"/>
    <w:rsid w:val="007A21F4"/>
    <w:rsid w:val="007A3F11"/>
    <w:rsid w:val="007A44FA"/>
    <w:rsid w:val="007A4E14"/>
    <w:rsid w:val="007A50AA"/>
    <w:rsid w:val="007A64DC"/>
    <w:rsid w:val="007A6665"/>
    <w:rsid w:val="007B2335"/>
    <w:rsid w:val="007B413E"/>
    <w:rsid w:val="007C1969"/>
    <w:rsid w:val="007C4D7C"/>
    <w:rsid w:val="007C5CEF"/>
    <w:rsid w:val="007C6016"/>
    <w:rsid w:val="007E7835"/>
    <w:rsid w:val="007F50C9"/>
    <w:rsid w:val="007F77A1"/>
    <w:rsid w:val="00801BEB"/>
    <w:rsid w:val="008021C7"/>
    <w:rsid w:val="00824823"/>
    <w:rsid w:val="0082693F"/>
    <w:rsid w:val="00826B7E"/>
    <w:rsid w:val="00827F2F"/>
    <w:rsid w:val="008472FC"/>
    <w:rsid w:val="0085009E"/>
    <w:rsid w:val="00862C4E"/>
    <w:rsid w:val="00873295"/>
    <w:rsid w:val="00880CE9"/>
    <w:rsid w:val="00881231"/>
    <w:rsid w:val="00881506"/>
    <w:rsid w:val="00882364"/>
    <w:rsid w:val="00882C70"/>
    <w:rsid w:val="008830C8"/>
    <w:rsid w:val="00883548"/>
    <w:rsid w:val="008839CE"/>
    <w:rsid w:val="00885DB7"/>
    <w:rsid w:val="008861CB"/>
    <w:rsid w:val="0089226A"/>
    <w:rsid w:val="008973A3"/>
    <w:rsid w:val="00897B3E"/>
    <w:rsid w:val="008A63AC"/>
    <w:rsid w:val="008A656A"/>
    <w:rsid w:val="008B0613"/>
    <w:rsid w:val="008B1D6C"/>
    <w:rsid w:val="008C144E"/>
    <w:rsid w:val="008C3CD8"/>
    <w:rsid w:val="008C5402"/>
    <w:rsid w:val="008D6727"/>
    <w:rsid w:val="008D6DF9"/>
    <w:rsid w:val="008E38D0"/>
    <w:rsid w:val="008F1285"/>
    <w:rsid w:val="008F1532"/>
    <w:rsid w:val="00904493"/>
    <w:rsid w:val="00911F41"/>
    <w:rsid w:val="00916D22"/>
    <w:rsid w:val="0092030F"/>
    <w:rsid w:val="00920506"/>
    <w:rsid w:val="00924883"/>
    <w:rsid w:val="0093136E"/>
    <w:rsid w:val="009462F9"/>
    <w:rsid w:val="0095059D"/>
    <w:rsid w:val="009529B3"/>
    <w:rsid w:val="009548A7"/>
    <w:rsid w:val="009626B3"/>
    <w:rsid w:val="009627F0"/>
    <w:rsid w:val="00963D98"/>
    <w:rsid w:val="0096481C"/>
    <w:rsid w:val="00966914"/>
    <w:rsid w:val="009675ED"/>
    <w:rsid w:val="00971ED8"/>
    <w:rsid w:val="00975CFC"/>
    <w:rsid w:val="00983016"/>
    <w:rsid w:val="009907AD"/>
    <w:rsid w:val="00993A46"/>
    <w:rsid w:val="009947F9"/>
    <w:rsid w:val="009A3801"/>
    <w:rsid w:val="009B1471"/>
    <w:rsid w:val="009B3F5C"/>
    <w:rsid w:val="009C027D"/>
    <w:rsid w:val="009C0408"/>
    <w:rsid w:val="009C2B2F"/>
    <w:rsid w:val="009C6A7E"/>
    <w:rsid w:val="009D2C71"/>
    <w:rsid w:val="009D6059"/>
    <w:rsid w:val="009E2872"/>
    <w:rsid w:val="009E506B"/>
    <w:rsid w:val="009E7DEF"/>
    <w:rsid w:val="009F1477"/>
    <w:rsid w:val="00A0127E"/>
    <w:rsid w:val="00A11CB1"/>
    <w:rsid w:val="00A122A6"/>
    <w:rsid w:val="00A15475"/>
    <w:rsid w:val="00A15712"/>
    <w:rsid w:val="00A174CD"/>
    <w:rsid w:val="00A176A9"/>
    <w:rsid w:val="00A258E9"/>
    <w:rsid w:val="00A25B08"/>
    <w:rsid w:val="00A4137D"/>
    <w:rsid w:val="00A41638"/>
    <w:rsid w:val="00A50A70"/>
    <w:rsid w:val="00A5551F"/>
    <w:rsid w:val="00A6412A"/>
    <w:rsid w:val="00A64A70"/>
    <w:rsid w:val="00A6655D"/>
    <w:rsid w:val="00A745D0"/>
    <w:rsid w:val="00A81D0A"/>
    <w:rsid w:val="00A95C82"/>
    <w:rsid w:val="00AB48F1"/>
    <w:rsid w:val="00AB5821"/>
    <w:rsid w:val="00AC2E5B"/>
    <w:rsid w:val="00AC52A7"/>
    <w:rsid w:val="00AE03CF"/>
    <w:rsid w:val="00AE4A4B"/>
    <w:rsid w:val="00AF587B"/>
    <w:rsid w:val="00B02987"/>
    <w:rsid w:val="00B03667"/>
    <w:rsid w:val="00B04636"/>
    <w:rsid w:val="00B04F8D"/>
    <w:rsid w:val="00B05A99"/>
    <w:rsid w:val="00B134E6"/>
    <w:rsid w:val="00B147D5"/>
    <w:rsid w:val="00B34046"/>
    <w:rsid w:val="00B363B6"/>
    <w:rsid w:val="00B43D4B"/>
    <w:rsid w:val="00B47873"/>
    <w:rsid w:val="00B505F6"/>
    <w:rsid w:val="00B632D9"/>
    <w:rsid w:val="00B64F08"/>
    <w:rsid w:val="00B65B92"/>
    <w:rsid w:val="00B85598"/>
    <w:rsid w:val="00B95707"/>
    <w:rsid w:val="00BA11D6"/>
    <w:rsid w:val="00BA1C9B"/>
    <w:rsid w:val="00BA2BEB"/>
    <w:rsid w:val="00BA4E41"/>
    <w:rsid w:val="00BA5051"/>
    <w:rsid w:val="00BA5356"/>
    <w:rsid w:val="00BB7B35"/>
    <w:rsid w:val="00BC21E0"/>
    <w:rsid w:val="00BC2CE5"/>
    <w:rsid w:val="00BC4F02"/>
    <w:rsid w:val="00BC69B7"/>
    <w:rsid w:val="00BD03A9"/>
    <w:rsid w:val="00BD1021"/>
    <w:rsid w:val="00BD2AD3"/>
    <w:rsid w:val="00BE306B"/>
    <w:rsid w:val="00BE66DE"/>
    <w:rsid w:val="00BF01D0"/>
    <w:rsid w:val="00BF17A2"/>
    <w:rsid w:val="00BF1AC1"/>
    <w:rsid w:val="00C14374"/>
    <w:rsid w:val="00C14BEE"/>
    <w:rsid w:val="00C15D76"/>
    <w:rsid w:val="00C23F22"/>
    <w:rsid w:val="00C31EC2"/>
    <w:rsid w:val="00C336F2"/>
    <w:rsid w:val="00C47822"/>
    <w:rsid w:val="00C50C5D"/>
    <w:rsid w:val="00C51D42"/>
    <w:rsid w:val="00C57A31"/>
    <w:rsid w:val="00C64DB0"/>
    <w:rsid w:val="00C66F05"/>
    <w:rsid w:val="00C67884"/>
    <w:rsid w:val="00C67C40"/>
    <w:rsid w:val="00C70FC4"/>
    <w:rsid w:val="00C73BC4"/>
    <w:rsid w:val="00C83139"/>
    <w:rsid w:val="00C96F4B"/>
    <w:rsid w:val="00C972BF"/>
    <w:rsid w:val="00CA12F5"/>
    <w:rsid w:val="00CB0B55"/>
    <w:rsid w:val="00CB184B"/>
    <w:rsid w:val="00CD2ED1"/>
    <w:rsid w:val="00CD7162"/>
    <w:rsid w:val="00CD7E0C"/>
    <w:rsid w:val="00CE3290"/>
    <w:rsid w:val="00CF2A1D"/>
    <w:rsid w:val="00CF4C38"/>
    <w:rsid w:val="00D008A9"/>
    <w:rsid w:val="00D00ABF"/>
    <w:rsid w:val="00D01748"/>
    <w:rsid w:val="00D02418"/>
    <w:rsid w:val="00D10921"/>
    <w:rsid w:val="00D24B43"/>
    <w:rsid w:val="00D26CFC"/>
    <w:rsid w:val="00D31306"/>
    <w:rsid w:val="00D40CD9"/>
    <w:rsid w:val="00D4563E"/>
    <w:rsid w:val="00D45805"/>
    <w:rsid w:val="00D45CE4"/>
    <w:rsid w:val="00D54DCD"/>
    <w:rsid w:val="00D55859"/>
    <w:rsid w:val="00D61A00"/>
    <w:rsid w:val="00D61F5F"/>
    <w:rsid w:val="00D65CFA"/>
    <w:rsid w:val="00D65ED1"/>
    <w:rsid w:val="00D71682"/>
    <w:rsid w:val="00D74F3C"/>
    <w:rsid w:val="00D83517"/>
    <w:rsid w:val="00D85E48"/>
    <w:rsid w:val="00D92D49"/>
    <w:rsid w:val="00D92D60"/>
    <w:rsid w:val="00D9353B"/>
    <w:rsid w:val="00D95E39"/>
    <w:rsid w:val="00DA46DF"/>
    <w:rsid w:val="00DA568D"/>
    <w:rsid w:val="00DB7CF1"/>
    <w:rsid w:val="00DC0A9F"/>
    <w:rsid w:val="00DC581F"/>
    <w:rsid w:val="00DC58CD"/>
    <w:rsid w:val="00DC6824"/>
    <w:rsid w:val="00DD2468"/>
    <w:rsid w:val="00DD3438"/>
    <w:rsid w:val="00DD7313"/>
    <w:rsid w:val="00DE2945"/>
    <w:rsid w:val="00DE2B8A"/>
    <w:rsid w:val="00DF5657"/>
    <w:rsid w:val="00DF73E7"/>
    <w:rsid w:val="00E00157"/>
    <w:rsid w:val="00E10801"/>
    <w:rsid w:val="00E25B73"/>
    <w:rsid w:val="00E3718E"/>
    <w:rsid w:val="00E374EB"/>
    <w:rsid w:val="00E40444"/>
    <w:rsid w:val="00E42104"/>
    <w:rsid w:val="00E424D9"/>
    <w:rsid w:val="00E5185B"/>
    <w:rsid w:val="00E569C4"/>
    <w:rsid w:val="00E61E3C"/>
    <w:rsid w:val="00E70D00"/>
    <w:rsid w:val="00E76143"/>
    <w:rsid w:val="00E774D0"/>
    <w:rsid w:val="00E77886"/>
    <w:rsid w:val="00E82C86"/>
    <w:rsid w:val="00E86224"/>
    <w:rsid w:val="00E869B4"/>
    <w:rsid w:val="00E92F91"/>
    <w:rsid w:val="00E9412A"/>
    <w:rsid w:val="00EA489D"/>
    <w:rsid w:val="00EB09F4"/>
    <w:rsid w:val="00EB6670"/>
    <w:rsid w:val="00EC071B"/>
    <w:rsid w:val="00EC2EDC"/>
    <w:rsid w:val="00EC3F05"/>
    <w:rsid w:val="00EC4487"/>
    <w:rsid w:val="00EE0DA9"/>
    <w:rsid w:val="00EE2A14"/>
    <w:rsid w:val="00EE2D23"/>
    <w:rsid w:val="00EF05B2"/>
    <w:rsid w:val="00EF1A0F"/>
    <w:rsid w:val="00EF30A7"/>
    <w:rsid w:val="00EF71A1"/>
    <w:rsid w:val="00F01862"/>
    <w:rsid w:val="00F01D1E"/>
    <w:rsid w:val="00F04033"/>
    <w:rsid w:val="00F045B6"/>
    <w:rsid w:val="00F07CE5"/>
    <w:rsid w:val="00F12AB4"/>
    <w:rsid w:val="00F25168"/>
    <w:rsid w:val="00F3300C"/>
    <w:rsid w:val="00F333C5"/>
    <w:rsid w:val="00F34692"/>
    <w:rsid w:val="00F34B9A"/>
    <w:rsid w:val="00F35D75"/>
    <w:rsid w:val="00F40226"/>
    <w:rsid w:val="00F469CE"/>
    <w:rsid w:val="00F514E4"/>
    <w:rsid w:val="00F54DAD"/>
    <w:rsid w:val="00F61A37"/>
    <w:rsid w:val="00F62217"/>
    <w:rsid w:val="00F66307"/>
    <w:rsid w:val="00F706D0"/>
    <w:rsid w:val="00F71309"/>
    <w:rsid w:val="00F73E3D"/>
    <w:rsid w:val="00F75A91"/>
    <w:rsid w:val="00F85911"/>
    <w:rsid w:val="00F8596A"/>
    <w:rsid w:val="00F91E06"/>
    <w:rsid w:val="00F954C8"/>
    <w:rsid w:val="00FA10A1"/>
    <w:rsid w:val="00FA5248"/>
    <w:rsid w:val="00FB008E"/>
    <w:rsid w:val="00FB2167"/>
    <w:rsid w:val="00FB2D05"/>
    <w:rsid w:val="00FB4F92"/>
    <w:rsid w:val="00FB63D5"/>
    <w:rsid w:val="00FC5722"/>
    <w:rsid w:val="00FC71F4"/>
    <w:rsid w:val="00FD0FAA"/>
    <w:rsid w:val="00FF6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4" type="connector" idref="#_x0000_s1029"/>
        <o:r id="V:Rule5" type="connector" idref="#_x0000_s1030"/>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3">
    <w:name w:val="heading 3"/>
    <w:basedOn w:val="Normal"/>
    <w:next w:val="Normal"/>
    <w:link w:val="Heading3Char"/>
    <w:qFormat/>
    <w:locked/>
    <w:rsid w:val="005A777F"/>
    <w:pPr>
      <w:keepNext/>
      <w:jc w:val="center"/>
      <w:outlineLvl w:val="2"/>
    </w:pPr>
    <w:rPr>
      <w:rFonts w:ascii=".VnTimeH" w:hAnsi=".VnTimeH"/>
      <w:b/>
      <w:sz w:val="26"/>
      <w:szCs w:val="20"/>
      <w:lang w:val="en-GB"/>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unhideWhenUsed/>
    <w:rsid w:val="00C70FC4"/>
    <w:pPr>
      <w:tabs>
        <w:tab w:val="center" w:pos="4680"/>
        <w:tab w:val="right" w:pos="9360"/>
      </w:tabs>
    </w:pPr>
  </w:style>
  <w:style w:type="character" w:customStyle="1" w:styleId="HeaderChar">
    <w:name w:val="Header Char"/>
    <w:basedOn w:val="DefaultParagraphFont"/>
    <w:link w:val="Header"/>
    <w:uiPriority w:val="99"/>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customStyle="1" w:styleId="Heading3Char">
    <w:name w:val="Heading 3 Char"/>
    <w:basedOn w:val="DefaultParagraphFont"/>
    <w:link w:val="Heading3"/>
    <w:rsid w:val="005A777F"/>
    <w:rPr>
      <w:rFonts w:ascii=".VnTimeH" w:hAnsi=".VnTimeH"/>
      <w:b/>
      <w:sz w:val="26"/>
      <w:lang w:val="en-GB" w:eastAsia="en-US"/>
    </w:rPr>
  </w:style>
  <w:style w:type="character" w:styleId="Strong">
    <w:name w:val="Strong"/>
    <w:basedOn w:val="DefaultParagraphFont"/>
    <w:qFormat/>
    <w:locked/>
    <w:rsid w:val="009D2C71"/>
    <w:rPr>
      <w:b/>
      <w:bCs/>
    </w:rPr>
  </w:style>
  <w:style w:type="paragraph" w:styleId="FootnoteText">
    <w:name w:val="footnote text"/>
    <w:basedOn w:val="Normal"/>
    <w:link w:val="FootnoteTextChar"/>
    <w:uiPriority w:val="99"/>
    <w:semiHidden/>
    <w:unhideWhenUsed/>
    <w:rsid w:val="00CF4C38"/>
    <w:rPr>
      <w:sz w:val="20"/>
      <w:szCs w:val="20"/>
    </w:rPr>
  </w:style>
  <w:style w:type="character" w:customStyle="1" w:styleId="FootnoteTextChar">
    <w:name w:val="Footnote Text Char"/>
    <w:basedOn w:val="DefaultParagraphFont"/>
    <w:link w:val="FootnoteText"/>
    <w:uiPriority w:val="99"/>
    <w:semiHidden/>
    <w:rsid w:val="00CF4C38"/>
    <w:rPr>
      <w:lang w:val="en-US" w:eastAsia="en-US"/>
    </w:rPr>
  </w:style>
  <w:style w:type="character" w:styleId="FootnoteReference">
    <w:name w:val="footnote reference"/>
    <w:basedOn w:val="DefaultParagraphFont"/>
    <w:uiPriority w:val="99"/>
    <w:semiHidden/>
    <w:unhideWhenUsed/>
    <w:rsid w:val="00CF4C38"/>
    <w:rPr>
      <w:vertAlign w:val="superscript"/>
    </w:rPr>
  </w:style>
  <w:style w:type="character" w:styleId="Hyperlink">
    <w:name w:val="Hyperlink"/>
    <w:basedOn w:val="DefaultParagraphFont"/>
    <w:uiPriority w:val="99"/>
    <w:semiHidden/>
    <w:unhideWhenUsed/>
    <w:rsid w:val="0095059D"/>
    <w:rPr>
      <w:color w:val="0000FF"/>
      <w:u w:val="single"/>
    </w:rPr>
  </w:style>
  <w:style w:type="paragraph" w:styleId="BalloonText">
    <w:name w:val="Balloon Text"/>
    <w:basedOn w:val="Normal"/>
    <w:link w:val="BalloonTextChar"/>
    <w:uiPriority w:val="99"/>
    <w:semiHidden/>
    <w:unhideWhenUsed/>
    <w:rsid w:val="0096481C"/>
    <w:rPr>
      <w:rFonts w:ascii="Tahoma" w:hAnsi="Tahoma" w:cs="Tahoma"/>
      <w:sz w:val="16"/>
      <w:szCs w:val="16"/>
    </w:rPr>
  </w:style>
  <w:style w:type="character" w:customStyle="1" w:styleId="BalloonTextChar">
    <w:name w:val="Balloon Text Char"/>
    <w:basedOn w:val="DefaultParagraphFont"/>
    <w:link w:val="BalloonText"/>
    <w:uiPriority w:val="99"/>
    <w:semiHidden/>
    <w:rsid w:val="0096481C"/>
    <w:rPr>
      <w:rFonts w:ascii="Tahoma" w:hAnsi="Tahoma" w:cs="Tahoma"/>
      <w:sz w:val="16"/>
      <w:szCs w:val="16"/>
      <w:lang w:val="en-US" w:eastAsia="en-US"/>
    </w:rPr>
  </w:style>
  <w:style w:type="character" w:styleId="PlaceholderText">
    <w:name w:val="Placeholder Text"/>
    <w:basedOn w:val="DefaultParagraphFont"/>
    <w:uiPriority w:val="99"/>
    <w:semiHidden/>
    <w:rsid w:val="0096481C"/>
    <w:rPr>
      <w:color w:val="808080"/>
    </w:r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 w:id="13397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E2218-1673-4C24-A68B-67852198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Le Ha Thu</cp:lastModifiedBy>
  <cp:revision>66</cp:revision>
  <cp:lastPrinted>2025-04-17T09:46:00Z</cp:lastPrinted>
  <dcterms:created xsi:type="dcterms:W3CDTF">2016-11-29T03:23:00Z</dcterms:created>
  <dcterms:modified xsi:type="dcterms:W3CDTF">2025-04-26T08:32:00Z</dcterms:modified>
</cp:coreProperties>
</file>